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（市委社会工作部综合保障中心）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得15分，非一流大学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政治面貌为中共党员得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；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考取普通话证书达到一级乙等及以上得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分、二级甲等得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分、二级乙等得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  <w:bookmarkStart w:id="0" w:name="_GoBack"/>
      <w:bookmarkEnd w:id="0"/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ZTYzOTRlYjA5MThmNzQ0ZThlYWY4YzYwMWY5MzUifQ=="/>
    <w:docVar w:name="KSO_WPS_MARK_KEY" w:val="3ee584e6-18a9-4b0f-95ae-2deb7ac78822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2482F23"/>
    <w:rsid w:val="1AF97477"/>
    <w:rsid w:val="1CFC20A0"/>
    <w:rsid w:val="2CC87A64"/>
    <w:rsid w:val="330218F0"/>
    <w:rsid w:val="3B1324C5"/>
    <w:rsid w:val="4EE259CC"/>
    <w:rsid w:val="51412DBB"/>
    <w:rsid w:val="5C4A57F7"/>
    <w:rsid w:val="5DE959C5"/>
    <w:rsid w:val="5EE44030"/>
    <w:rsid w:val="6D283351"/>
    <w:rsid w:val="6E30643A"/>
    <w:rsid w:val="6FD168D1"/>
    <w:rsid w:val="76C557BD"/>
    <w:rsid w:val="F63ED5D3"/>
    <w:rsid w:val="FA3FFE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756</Words>
  <Characters>913</Characters>
  <Lines>7</Lines>
  <Paragraphs>1</Paragraphs>
  <TotalTime>186</TotalTime>
  <ScaleCrop>false</ScaleCrop>
  <LinksUpToDate>false</LinksUpToDate>
  <CharactersWithSpaces>971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2022-04-29T17:07:00Z</dcterms:created>
  <dc:creator>Yuan</dc:creator>
  <cp:lastModifiedBy>小胖干</cp:lastModifiedBy>
  <cp:lastPrinted>2023-05-15T22:55:00Z</cp:lastPrinted>
  <dcterms:modified xsi:type="dcterms:W3CDTF">2024-10-23T08:52:28Z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