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CD7C2F">
      <w:pPr>
        <w:jc w:val="center"/>
        <w:rPr>
          <w:rFonts w:hint="eastAsia" w:ascii="方正小标宋简体" w:hAnsi="黑体" w:eastAsia="方正小标宋简体"/>
          <w:b w:val="0"/>
          <w:sz w:val="36"/>
          <w:szCs w:val="36"/>
        </w:rPr>
      </w:pPr>
      <w:r>
        <w:rPr>
          <w:rFonts w:hint="eastAsia" w:ascii="方正小标宋简体" w:hAnsi="黑体" w:eastAsia="方正小标宋简体"/>
          <w:b w:val="0"/>
          <w:sz w:val="36"/>
          <w:szCs w:val="36"/>
        </w:rPr>
        <w:t>202</w:t>
      </w:r>
      <w:r>
        <w:rPr>
          <w:rFonts w:hint="eastAsia" w:ascii="方正小标宋简体" w:hAnsi="黑体" w:eastAsia="方正小标宋简体"/>
          <w:b w:val="0"/>
          <w:sz w:val="36"/>
          <w:szCs w:val="36"/>
          <w:lang w:val="en-US" w:eastAsia="zh-CN"/>
        </w:rPr>
        <w:t>5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年</w:t>
      </w:r>
      <w:r>
        <w:rPr>
          <w:rFonts w:hint="eastAsia" w:ascii="方正小标宋简体" w:hAnsi="黑体" w:eastAsia="方正小标宋简体"/>
          <w:b w:val="0"/>
          <w:sz w:val="36"/>
          <w:szCs w:val="36"/>
          <w:lang w:eastAsia="zh-CN"/>
        </w:rPr>
        <w:t>区外引才专场招聘会引进高层次人才测评</w:t>
      </w:r>
      <w:r>
        <w:rPr>
          <w:rFonts w:hint="eastAsia" w:ascii="方正小标宋简体" w:hAnsi="黑体" w:eastAsia="方正小标宋简体"/>
          <w:b w:val="0"/>
          <w:sz w:val="36"/>
          <w:szCs w:val="36"/>
        </w:rPr>
        <w:t>表</w:t>
      </w:r>
    </w:p>
    <w:p w14:paraId="2FC9C57F">
      <w:pPr>
        <w:jc w:val="center"/>
        <w:rPr>
          <w:rFonts w:ascii="楷体_GB2312" w:hAnsi="楷体_GB2312" w:eastAsia="楷体_GB2312" w:cs="楷体_GB2312"/>
          <w:b w:val="0"/>
          <w:sz w:val="28"/>
        </w:rPr>
      </w:pPr>
      <w:r>
        <w:rPr>
          <w:rFonts w:hint="eastAsia" w:ascii="楷体_GB2312" w:hAnsi="楷体_GB2312" w:eastAsia="楷体_GB2312" w:cs="楷体_GB2312"/>
          <w:b w:val="0"/>
          <w:sz w:val="28"/>
        </w:rPr>
        <w:t>（赤峰市劳动人事争议仲裁院）</w:t>
      </w:r>
    </w:p>
    <w:p w14:paraId="5BEFF478">
      <w:pPr>
        <w:rPr>
          <w:rFonts w:ascii="黑体" w:hAnsi="黑体" w:eastAsia="黑体"/>
          <w:b w:val="0"/>
          <w:sz w:val="24"/>
          <w:szCs w:val="21"/>
        </w:rPr>
      </w:pPr>
      <w:r>
        <w:rPr>
          <w:rFonts w:hint="eastAsia" w:ascii="黑体" w:hAnsi="黑体" w:eastAsia="黑体"/>
          <w:b w:val="0"/>
          <w:sz w:val="24"/>
          <w:szCs w:val="21"/>
        </w:rPr>
        <w:t>报名人员姓名:                 报名岗位:                         自评得分:</w:t>
      </w:r>
    </w:p>
    <w:tbl>
      <w:tblPr>
        <w:tblStyle w:val="5"/>
        <w:tblW w:w="892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5035"/>
        <w:gridCol w:w="709"/>
        <w:gridCol w:w="1701"/>
        <w:gridCol w:w="717"/>
      </w:tblGrid>
      <w:tr w14:paraId="1E3BB4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69CA5C">
            <w:pPr>
              <w:widowControl/>
              <w:spacing w:before="100" w:beforeAutospacing="1" w:after="100" w:afterAutospacing="1" w:line="240" w:lineRule="exact"/>
              <w:contextualSpacing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评价项目</w:t>
            </w:r>
          </w:p>
        </w:tc>
        <w:tc>
          <w:tcPr>
            <w:tcW w:w="5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4AAEC8">
            <w:pPr>
              <w:widowControl/>
              <w:spacing w:before="100" w:beforeAutospacing="1" w:after="100" w:afterAutospacing="1" w:line="240" w:lineRule="exact"/>
              <w:contextualSpacing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37026">
            <w:pPr>
              <w:widowControl/>
              <w:spacing w:before="100" w:beforeAutospacing="1" w:after="100" w:afterAutospacing="1" w:line="240" w:lineRule="exact"/>
              <w:contextualSpacing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赋分</w:t>
            </w:r>
          </w:p>
          <w:p w14:paraId="09BC261D">
            <w:pPr>
              <w:widowControl/>
              <w:spacing w:before="100" w:beforeAutospacing="1" w:after="100" w:afterAutospacing="1" w:line="240" w:lineRule="exact"/>
              <w:contextualSpacing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D198E">
            <w:pPr>
              <w:widowControl/>
              <w:spacing w:before="100" w:beforeAutospacing="1" w:after="100" w:afterAutospacing="1" w:line="240" w:lineRule="exact"/>
              <w:contextualSpacing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 w14:paraId="7D844DC5">
            <w:pPr>
              <w:widowControl/>
              <w:spacing w:before="100" w:beforeAutospacing="1" w:after="100" w:afterAutospacing="1" w:line="240" w:lineRule="exact"/>
              <w:contextualSpacing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得分项</w:t>
            </w:r>
          </w:p>
        </w:tc>
        <w:tc>
          <w:tcPr>
            <w:tcW w:w="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C2BE97">
            <w:pPr>
              <w:widowControl/>
              <w:spacing w:before="100" w:beforeAutospacing="1" w:after="100" w:afterAutospacing="1" w:line="240" w:lineRule="exact"/>
              <w:contextualSpacing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自评</w:t>
            </w:r>
          </w:p>
          <w:p w14:paraId="43852FCB">
            <w:pPr>
              <w:spacing w:before="100" w:beforeAutospacing="1" w:after="100" w:afterAutospacing="1" w:line="240" w:lineRule="exact"/>
              <w:contextualSpacing/>
              <w:jc w:val="center"/>
              <w:rPr>
                <w:rFonts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黑体" w:hAnsi="黑体" w:eastAsia="黑体" w:cs="宋体"/>
                <w:b w:val="0"/>
                <w:color w:val="000000"/>
                <w:spacing w:val="0"/>
                <w:sz w:val="21"/>
                <w:szCs w:val="24"/>
              </w:rPr>
              <w:t>得分</w:t>
            </w:r>
          </w:p>
        </w:tc>
      </w:tr>
      <w:tr w14:paraId="42A0E0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4" w:hRule="atLeast"/>
          <w:jc w:val="center"/>
        </w:trPr>
        <w:tc>
          <w:tcPr>
            <w:tcW w:w="7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351847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学历层次</w:t>
            </w:r>
          </w:p>
        </w:tc>
        <w:tc>
          <w:tcPr>
            <w:tcW w:w="5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BE4946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本科阶段</w:t>
            </w:r>
          </w:p>
          <w:p w14:paraId="4401126A">
            <w:pPr>
              <w:widowControl/>
              <w:spacing w:line="240" w:lineRule="exact"/>
              <w:ind w:firstLine="404" w:firstLineChars="199"/>
              <w:rPr>
                <w:rFonts w:cs="宋体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 xml:space="preserve">国 内： </w:t>
            </w:r>
          </w:p>
          <w:p w14:paraId="7E12D33C">
            <w:pPr>
              <w:widowControl/>
              <w:spacing w:line="240" w:lineRule="exact"/>
              <w:ind w:firstLine="404" w:firstLineChars="200"/>
              <w:rPr>
                <w:rFonts w:cs="宋体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国内院校排名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1-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3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0名的得2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5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国内院校排名3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1-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60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20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国内院校排名61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90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国内院校排名91-120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名以后的得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国内院校排名121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名以后的得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5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分。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一流大学且一流学科者，在以上分值基础上再加5分，总分不超过25分。</w:t>
            </w:r>
          </w:p>
          <w:p w14:paraId="73D26E07">
            <w:pPr>
              <w:widowControl/>
              <w:spacing w:line="240" w:lineRule="exact"/>
              <w:ind w:firstLine="406" w:firstLineChars="200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 xml:space="preserve">： </w:t>
            </w:r>
          </w:p>
          <w:p w14:paraId="5F940692">
            <w:pPr>
              <w:widowControl/>
              <w:spacing w:line="240" w:lineRule="exact"/>
              <w:ind w:firstLine="404" w:firstLineChars="200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世界排名1-40名的得25分；世界排名41-80名的得20分；世界排名81-12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5分；世界排名121-160名的得10分；世界排名161-200名的得5分。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A2AB54">
            <w:pPr>
              <w:widowControl/>
              <w:spacing w:line="240" w:lineRule="exact"/>
              <w:jc w:val="center"/>
              <w:rPr>
                <w:rFonts w:ascii="Times New Roman" w:hAnsi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/>
                <w:b w:val="0"/>
                <w:color w:val="000000"/>
                <w:spacing w:val="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244891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F8BD42">
            <w:pPr>
              <w:widowControl/>
              <w:spacing w:line="240" w:lineRule="exact"/>
              <w:jc w:val="center"/>
              <w:rPr>
                <w:rFonts w:hint="default" w:eastAsia="宋体" w:cs="宋体"/>
                <w:b w:val="0"/>
                <w:color w:val="FF0000"/>
                <w:spacing w:val="0"/>
                <w:sz w:val="21"/>
                <w:szCs w:val="21"/>
                <w:lang w:val="en-US" w:eastAsia="zh-CN"/>
              </w:rPr>
            </w:pPr>
          </w:p>
        </w:tc>
      </w:tr>
      <w:tr w14:paraId="1E9F09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2" w:hRule="atLeast"/>
          <w:jc w:val="center"/>
        </w:trPr>
        <w:tc>
          <w:tcPr>
            <w:tcW w:w="7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D8F75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5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04DE09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Cs/>
                <w:color w:val="000000"/>
                <w:spacing w:val="-4"/>
                <w:sz w:val="21"/>
                <w:szCs w:val="21"/>
              </w:rPr>
              <w:t>研究生阶段</w:t>
            </w:r>
          </w:p>
          <w:p w14:paraId="2BDEED2A">
            <w:pPr>
              <w:widowControl/>
              <w:spacing w:line="240" w:lineRule="exact"/>
              <w:ind w:firstLine="404" w:firstLineChars="199"/>
              <w:rPr>
                <w:rFonts w:cs="宋体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 xml:space="preserve">国 内： </w:t>
            </w:r>
          </w:p>
          <w:p w14:paraId="70816505">
            <w:pPr>
              <w:widowControl/>
              <w:spacing w:line="240" w:lineRule="exact"/>
              <w:ind w:firstLine="404" w:firstLineChars="200"/>
              <w:rPr>
                <w:rFonts w:cs="宋体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国内院校排名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1-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3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0名的得2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5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国内院校排名3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1-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60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20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国内院校排名61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-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90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15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国内院校排名91-120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名以后的得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10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分；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国内院校排名121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名以后的得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5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分。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一流大学且一流学科者，在以上分值基础上再加5分，总分不超过25分。</w:t>
            </w:r>
          </w:p>
          <w:p w14:paraId="74700897">
            <w:pPr>
              <w:widowControl/>
              <w:spacing w:line="240" w:lineRule="exact"/>
              <w:ind w:firstLine="406" w:firstLineChars="200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-4"/>
                <w:sz w:val="21"/>
                <w:szCs w:val="21"/>
              </w:rPr>
              <w:t>海 外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 xml:space="preserve">： </w:t>
            </w:r>
          </w:p>
          <w:p w14:paraId="47CCC0F6">
            <w:pPr>
              <w:widowControl/>
              <w:spacing w:line="240" w:lineRule="exact"/>
              <w:ind w:firstLine="404" w:firstLineChars="200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世界排名1-40名的得25分；世界排名41-80名的得20分；世界排名81-12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0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名的得</w:t>
            </w:r>
            <w:r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  <w:t>1</w:t>
            </w: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5分；世界排名121-160名的得10分；世界排名161-200名的得5分。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2C9B29">
            <w:pPr>
              <w:widowControl/>
              <w:spacing w:line="240" w:lineRule="exact"/>
              <w:jc w:val="center"/>
              <w:rPr>
                <w:rFonts w:ascii="Times New Roman" w:hAnsi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/>
                <w:b w:val="0"/>
                <w:color w:val="000000"/>
                <w:spacing w:val="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48C156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41DC1F">
            <w:pPr>
              <w:widowControl/>
              <w:spacing w:line="240" w:lineRule="exact"/>
              <w:jc w:val="center"/>
              <w:rPr>
                <w:rFonts w:hint="default" w:eastAsia="宋体" w:cs="宋体"/>
                <w:b w:val="0"/>
                <w:color w:val="FF0000"/>
                <w:spacing w:val="0"/>
                <w:sz w:val="21"/>
                <w:szCs w:val="21"/>
                <w:lang w:val="en-US" w:eastAsia="zh-CN"/>
              </w:rPr>
            </w:pPr>
          </w:p>
        </w:tc>
      </w:tr>
      <w:tr w14:paraId="3B735F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2C868C">
            <w:pPr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成绩业绩</w:t>
            </w:r>
          </w:p>
        </w:tc>
        <w:tc>
          <w:tcPr>
            <w:tcW w:w="5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816C6A">
            <w:pPr>
              <w:spacing w:line="240" w:lineRule="exact"/>
              <w:ind w:firstLine="404" w:firstLineChars="200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取研究生成绩。以GPA为评价标准，基础分为6分，最高15分。</w:t>
            </w:r>
          </w:p>
          <w:p w14:paraId="0D02CF07">
            <w:pPr>
              <w:spacing w:line="240" w:lineRule="exact"/>
              <w:ind w:firstLine="404" w:firstLineChars="200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按以下标准赋分：</w:t>
            </w:r>
            <w:r>
              <w:rPr>
                <w:rFonts w:cs="宋体"/>
                <w:b w:val="0"/>
                <w:spacing w:val="-4"/>
                <w:sz w:val="21"/>
                <w:szCs w:val="21"/>
              </w:rPr>
              <w:t>GPA1-1.2得6分，GPA 1.3-1.5得7分，GPA 1.6-1.8得8分，GPA 1.9-2.1得9分，GPA 2.2-2.4得10分，GPA 2.5-2.7得11分，GPA 2.8-3得12分，GPA 3.1-3.3得13分，GPA 3.4-3.6得14分，GPA 3.7-4得15分</w:t>
            </w: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。</w:t>
            </w:r>
          </w:p>
          <w:p w14:paraId="46F719E5">
            <w:pPr>
              <w:spacing w:line="240" w:lineRule="exact"/>
              <w:ind w:firstLine="404" w:firstLineChars="200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取小数点后一位，不四舍五入。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89610D">
            <w:pPr>
              <w:spacing w:line="240" w:lineRule="exact"/>
              <w:jc w:val="center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945CAB">
            <w:pPr>
              <w:widowControl/>
              <w:spacing w:line="240" w:lineRule="exact"/>
              <w:jc w:val="center"/>
              <w:rPr>
                <w:rFonts w:cs="宋体"/>
                <w:b w:val="0"/>
                <w:color w:val="FF0000"/>
                <w:spacing w:val="0"/>
                <w:sz w:val="21"/>
                <w:szCs w:val="21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CBB806">
            <w:pPr>
              <w:spacing w:line="240" w:lineRule="exact"/>
              <w:jc w:val="center"/>
              <w:rPr>
                <w:rFonts w:hint="default" w:eastAsia="宋体" w:cs="宋体"/>
                <w:b w:val="0"/>
                <w:color w:val="FF0000"/>
                <w:spacing w:val="0"/>
                <w:sz w:val="21"/>
                <w:szCs w:val="21"/>
                <w:lang w:val="en-US" w:eastAsia="zh-CN"/>
              </w:rPr>
            </w:pPr>
          </w:p>
        </w:tc>
      </w:tr>
      <w:tr w14:paraId="55D609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984B59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研究成果</w:t>
            </w:r>
          </w:p>
        </w:tc>
        <w:tc>
          <w:tcPr>
            <w:tcW w:w="5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01AEFE">
            <w:pPr>
              <w:widowControl/>
              <w:spacing w:line="240" w:lineRule="exact"/>
              <w:ind w:firstLine="404" w:firstLineChars="200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作为第一作者发表论文文章且被SCI收录者，每篇得8分；作为除导师以外第一作者发表论文文章且被SCI收录者，每篇得4分；作为除导师以外第二作者发表论文文章且被SCI收录者，每篇得2分；作为第一作者发表论文文章且被EI收录者，每篇得1分。</w:t>
            </w:r>
          </w:p>
          <w:p w14:paraId="0A433FDA">
            <w:pPr>
              <w:widowControl/>
              <w:spacing w:line="240" w:lineRule="exact"/>
              <w:ind w:firstLine="404" w:firstLineChars="200"/>
              <w:rPr>
                <w:rFonts w:cs="宋体"/>
                <w:b w:val="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spacing w:val="-4"/>
                <w:sz w:val="21"/>
                <w:szCs w:val="21"/>
              </w:rPr>
              <w:t>同一篇文章按最高分计算，发表多篇的累加不超15分。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0DBD8E">
            <w:pPr>
              <w:widowControl/>
              <w:spacing w:line="240" w:lineRule="exact"/>
              <w:jc w:val="center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68200">
            <w:pPr>
              <w:widowControl/>
              <w:spacing w:line="240" w:lineRule="exact"/>
              <w:jc w:val="center"/>
              <w:rPr>
                <w:rFonts w:hint="eastAsia" w:eastAsia="宋体" w:cs="宋体"/>
                <w:b w:val="0"/>
                <w:color w:val="FF0000"/>
                <w:spacing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A61631">
            <w:pPr>
              <w:widowControl/>
              <w:spacing w:line="240" w:lineRule="exact"/>
              <w:jc w:val="center"/>
              <w:rPr>
                <w:rFonts w:hint="eastAsia" w:eastAsia="宋体" w:cs="宋体"/>
                <w:b w:val="0"/>
                <w:color w:val="FF0000"/>
                <w:spacing w:val="0"/>
                <w:sz w:val="21"/>
                <w:szCs w:val="21"/>
                <w:lang w:val="en-US" w:eastAsia="zh-CN"/>
              </w:rPr>
            </w:pPr>
          </w:p>
        </w:tc>
      </w:tr>
      <w:tr w14:paraId="4397F1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A8A805">
            <w:pPr>
              <w:widowControl/>
              <w:spacing w:line="240" w:lineRule="exact"/>
              <w:jc w:val="center"/>
              <w:rPr>
                <w:rFonts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楷体_GB2312" w:eastAsia="楷体_GB2312" w:cs="宋体"/>
                <w:b w:val="0"/>
                <w:color w:val="000000"/>
                <w:spacing w:val="0"/>
                <w:sz w:val="24"/>
                <w:szCs w:val="24"/>
              </w:rPr>
              <w:t>荣誉奖项</w:t>
            </w:r>
          </w:p>
        </w:tc>
        <w:tc>
          <w:tcPr>
            <w:tcW w:w="5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D1D2A">
            <w:pPr>
              <w:widowControl/>
              <w:spacing w:line="240" w:lineRule="exact"/>
              <w:ind w:firstLine="404" w:firstLineChars="200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获得国家级荣誉者每项得5分；</w:t>
            </w:r>
          </w:p>
          <w:p w14:paraId="50DDBFAC">
            <w:pPr>
              <w:widowControl/>
              <w:spacing w:line="240" w:lineRule="exact"/>
              <w:ind w:firstLine="404" w:firstLineChars="200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获得省部级荣誉者每项得3分；</w:t>
            </w:r>
          </w:p>
          <w:p w14:paraId="6F7127C5">
            <w:pPr>
              <w:widowControl/>
              <w:spacing w:line="240" w:lineRule="exact"/>
              <w:ind w:firstLine="404" w:firstLineChars="200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获得市级荣誉者每项得1分；</w:t>
            </w:r>
          </w:p>
          <w:p w14:paraId="344C4871">
            <w:pPr>
              <w:widowControl/>
              <w:spacing w:line="240" w:lineRule="exact"/>
              <w:ind w:firstLine="404" w:firstLineChars="200"/>
              <w:rPr>
                <w:rFonts w:cs="宋体"/>
                <w:b w:val="0"/>
                <w:color w:val="000000"/>
                <w:spacing w:val="-4"/>
                <w:sz w:val="21"/>
                <w:szCs w:val="21"/>
              </w:rPr>
            </w:pPr>
            <w:r>
              <w:rPr>
                <w:rFonts w:hint="eastAsia" w:cs="宋体"/>
                <w:b w:val="0"/>
                <w:color w:val="000000"/>
                <w:spacing w:val="-4"/>
                <w:sz w:val="21"/>
                <w:szCs w:val="21"/>
              </w:rPr>
              <w:t>各项累加不超过10分。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4C995C">
            <w:pPr>
              <w:widowControl/>
              <w:spacing w:line="240" w:lineRule="exact"/>
              <w:jc w:val="center"/>
              <w:rPr>
                <w:rFonts w:ascii="Times New Roman" w:hAnsi="Times New Roman"/>
                <w:b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color w:val="000000"/>
                <w:spacing w:val="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A6C62F">
            <w:pPr>
              <w:widowControl/>
              <w:spacing w:line="240" w:lineRule="exact"/>
              <w:jc w:val="center"/>
              <w:rPr>
                <w:rFonts w:hint="eastAsia" w:eastAsia="宋体" w:cs="宋体"/>
                <w:b w:val="0"/>
                <w:color w:val="FF0000"/>
                <w:spacing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C2B4B">
            <w:pPr>
              <w:widowControl/>
              <w:spacing w:line="240" w:lineRule="exact"/>
              <w:jc w:val="center"/>
              <w:rPr>
                <w:rFonts w:hint="eastAsia" w:eastAsia="宋体" w:cs="宋体"/>
                <w:b w:val="0"/>
                <w:color w:val="FF0000"/>
                <w:spacing w:val="0"/>
                <w:sz w:val="21"/>
                <w:szCs w:val="21"/>
                <w:lang w:val="en-US" w:eastAsia="zh-CN"/>
              </w:rPr>
            </w:pPr>
          </w:p>
        </w:tc>
      </w:tr>
    </w:tbl>
    <w:p w14:paraId="3306CF2E">
      <w:pPr>
        <w:rPr>
          <w:rFonts w:ascii="仿宋_GB2312" w:eastAsia="仿宋_GB2312"/>
          <w:b w:val="0"/>
          <w:sz w:val="21"/>
          <w:szCs w:val="21"/>
        </w:rPr>
      </w:pPr>
    </w:p>
    <w:p w14:paraId="4E637806">
      <w:pPr>
        <w:rPr>
          <w:rFonts w:ascii="仿宋_GB2312" w:eastAsia="仿宋_GB2312"/>
          <w:b w:val="0"/>
          <w:sz w:val="21"/>
          <w:szCs w:val="21"/>
        </w:rPr>
      </w:pPr>
    </w:p>
    <w:p w14:paraId="7315E93D">
      <w:pPr>
        <w:spacing w:before="100" w:beforeAutospacing="1" w:after="100" w:afterAutospacing="1" w:line="560" w:lineRule="exact"/>
        <w:contextualSpacing/>
        <w:jc w:val="center"/>
        <w:rPr>
          <w:rFonts w:ascii="方正小标宋简体" w:hAnsi="黑体" w:eastAsia="方正小标宋简体"/>
          <w:b w:val="0"/>
          <w:bCs/>
          <w:sz w:val="44"/>
          <w:szCs w:val="32"/>
        </w:rPr>
      </w:pPr>
      <w:r>
        <w:rPr>
          <w:rFonts w:hint="eastAsia" w:ascii="方正小标宋简体" w:hAnsi="黑体" w:eastAsia="方正小标宋简体"/>
          <w:b w:val="0"/>
          <w:bCs/>
          <w:sz w:val="44"/>
          <w:szCs w:val="32"/>
        </w:rPr>
        <w:t>引进人才</w:t>
      </w:r>
      <w:r>
        <w:rPr>
          <w:rFonts w:hint="eastAsia" w:ascii="方正小标宋简体" w:hAnsi="黑体" w:eastAsia="方正小标宋简体"/>
          <w:b w:val="0"/>
          <w:bCs/>
          <w:sz w:val="44"/>
          <w:szCs w:val="32"/>
          <w:lang w:eastAsia="zh-CN"/>
        </w:rPr>
        <w:t>测评</w:t>
      </w:r>
      <w:r>
        <w:rPr>
          <w:rFonts w:hint="eastAsia" w:ascii="方正小标宋简体" w:hAnsi="黑体" w:eastAsia="方正小标宋简体"/>
          <w:b w:val="0"/>
          <w:bCs/>
          <w:sz w:val="44"/>
          <w:szCs w:val="32"/>
        </w:rPr>
        <w:t>表填报说明</w:t>
      </w:r>
    </w:p>
    <w:p w14:paraId="70D4352B">
      <w:pPr>
        <w:spacing w:before="100" w:beforeAutospacing="1" w:after="100" w:afterAutospacing="1" w:line="560" w:lineRule="exact"/>
        <w:ind w:firstLine="600" w:firstLineChars="200"/>
        <w:contextualSpacing/>
        <w:rPr>
          <w:rFonts w:ascii="仿宋_GB2312" w:hAnsi="黑体" w:eastAsia="仿宋_GB2312"/>
          <w:b w:val="0"/>
          <w:bCs/>
          <w:sz w:val="32"/>
          <w:szCs w:val="32"/>
        </w:rPr>
      </w:pPr>
    </w:p>
    <w:p w14:paraId="138BD977">
      <w:pPr>
        <w:spacing w:before="100" w:beforeAutospacing="1" w:after="100" w:afterAutospacing="1" w:line="560" w:lineRule="exact"/>
        <w:ind w:firstLine="600" w:firstLineChars="200"/>
        <w:contextualSpacing/>
        <w:rPr>
          <w:rFonts w:ascii="黑体" w:hAnsi="黑体" w:eastAsia="黑体"/>
          <w:b w:val="0"/>
          <w:bCs/>
          <w:sz w:val="32"/>
          <w:szCs w:val="32"/>
        </w:rPr>
      </w:pPr>
      <w:r>
        <w:rPr>
          <w:rFonts w:hint="eastAsia" w:ascii="黑体" w:hAnsi="黑体" w:eastAsia="黑体"/>
          <w:b w:val="0"/>
          <w:bCs/>
          <w:sz w:val="32"/>
          <w:szCs w:val="32"/>
        </w:rPr>
        <w:t>一、学历层次方面</w:t>
      </w:r>
    </w:p>
    <w:p w14:paraId="512C66E2">
      <w:pPr>
        <w:spacing w:before="100" w:beforeAutospacing="1" w:after="100" w:afterAutospacing="1" w:line="560" w:lineRule="exact"/>
        <w:ind w:firstLine="600" w:firstLineChars="200"/>
        <w:contextualSpacing/>
        <w:rPr>
          <w:rFonts w:ascii="仿宋_GB2312" w:hAnsi="黑体" w:eastAsia="仿宋_GB2312"/>
          <w:b w:val="0"/>
          <w:bCs/>
          <w:sz w:val="32"/>
          <w:szCs w:val="32"/>
        </w:rPr>
      </w:pPr>
      <w:r>
        <w:rPr>
          <w:rFonts w:hint="eastAsia" w:ascii="仿宋_GB2312" w:hAnsi="黑体" w:eastAsia="仿宋_GB2312"/>
          <w:b w:val="0"/>
          <w:bCs/>
          <w:sz w:val="32"/>
          <w:szCs w:val="32"/>
        </w:rPr>
        <w:t>（一）一流大学和一流学科目录，以《教育部、财政部、国家发展改革委关于公布第二轮“双一流”建设高校及建设学科名单的通知》（教研函〔2022〕1号）为准。</w:t>
      </w:r>
    </w:p>
    <w:p w14:paraId="3B2FFB2E">
      <w:pPr>
        <w:spacing w:before="100" w:beforeAutospacing="1" w:after="100" w:afterAutospacing="1" w:line="560" w:lineRule="exact"/>
        <w:ind w:firstLine="600" w:firstLineChars="200"/>
        <w:contextualSpacing/>
        <w:rPr>
          <w:rFonts w:ascii="仿宋_GB2312" w:hAnsi="黑体" w:eastAsia="仿宋_GB2312"/>
          <w:b w:val="0"/>
          <w:bCs/>
          <w:sz w:val="32"/>
          <w:szCs w:val="32"/>
        </w:rPr>
      </w:pPr>
      <w:r>
        <w:rPr>
          <w:rFonts w:hint="eastAsia" w:ascii="仿宋_GB2312" w:hAnsi="黑体" w:eastAsia="仿宋_GB2312"/>
          <w:b w:val="0"/>
          <w:bCs/>
          <w:sz w:val="32"/>
          <w:szCs w:val="32"/>
        </w:rPr>
        <w:t>（二）在一流学科认定上，所学专业须属该学科内专业。</w:t>
      </w:r>
    </w:p>
    <w:p w14:paraId="76F078A1">
      <w:pPr>
        <w:spacing w:before="100" w:beforeAutospacing="1" w:after="100" w:afterAutospacing="1" w:line="560" w:lineRule="exact"/>
        <w:ind w:firstLine="600" w:firstLineChars="200"/>
        <w:contextualSpacing/>
        <w:rPr>
          <w:rFonts w:ascii="仿宋_GB2312" w:hAnsi="黑体" w:eastAsia="仿宋_GB2312"/>
          <w:b w:val="0"/>
          <w:bCs/>
          <w:sz w:val="32"/>
          <w:szCs w:val="32"/>
        </w:rPr>
      </w:pPr>
      <w:r>
        <w:rPr>
          <w:rFonts w:hint="eastAsia" w:ascii="仿宋_GB2312" w:hAnsi="黑体" w:eastAsia="仿宋_GB2312"/>
          <w:b w:val="0"/>
          <w:bCs/>
          <w:sz w:val="32"/>
          <w:szCs w:val="32"/>
        </w:rPr>
        <w:t>（三）学校排名以该校权威世界大学综合排名（含中国软科世界大学学术排名、英国QS世界大学排名、英国泰晤士高等教育世界大学排名、美国U.S. News世界大学排名）历史最高为准。报名人员提供当年权威世界大学综合排名信息（文件或网页）。无法准确查询确认的，国内院校以202</w:t>
      </w:r>
      <w:r>
        <w:rPr>
          <w:rFonts w:hint="eastAsia" w:ascii="仿宋_GB2312" w:hAnsi="黑体" w:eastAsia="仿宋_GB2312"/>
          <w:b w:val="0"/>
          <w:bCs/>
          <w:sz w:val="32"/>
          <w:szCs w:val="32"/>
          <w:lang w:val="en-US" w:eastAsia="zh-CN"/>
        </w:rPr>
        <w:t>5</w:t>
      </w:r>
      <w:r>
        <w:rPr>
          <w:rFonts w:hint="eastAsia" w:ascii="仿宋_GB2312" w:hAnsi="黑体" w:eastAsia="仿宋_GB2312"/>
          <w:b w:val="0"/>
          <w:bCs/>
          <w:sz w:val="32"/>
          <w:szCs w:val="32"/>
        </w:rPr>
        <w:t>年中国软科世界大学学术排名为准，海外院校以202</w:t>
      </w:r>
      <w:r>
        <w:rPr>
          <w:rFonts w:hint="eastAsia" w:ascii="仿宋_GB2312" w:hAnsi="黑体" w:eastAsia="仿宋_GB2312"/>
          <w:b w:val="0"/>
          <w:bCs/>
          <w:sz w:val="32"/>
          <w:szCs w:val="32"/>
          <w:lang w:val="en-US" w:eastAsia="zh-CN"/>
        </w:rPr>
        <w:t>5</w:t>
      </w:r>
      <w:r>
        <w:rPr>
          <w:rFonts w:hint="eastAsia" w:ascii="仿宋_GB2312" w:hAnsi="黑体" w:eastAsia="仿宋_GB2312"/>
          <w:b w:val="0"/>
          <w:bCs/>
          <w:sz w:val="32"/>
          <w:szCs w:val="32"/>
        </w:rPr>
        <w:t>年英国QS世界大学排名为准。</w:t>
      </w:r>
    </w:p>
    <w:p w14:paraId="6CAE84BD">
      <w:pPr>
        <w:spacing w:before="100" w:beforeAutospacing="1" w:after="100" w:afterAutospacing="1" w:line="560" w:lineRule="exact"/>
        <w:ind w:firstLine="600" w:firstLineChars="200"/>
        <w:contextualSpacing/>
        <w:rPr>
          <w:rFonts w:ascii="黑体" w:hAnsi="黑体" w:eastAsia="黑体"/>
          <w:b w:val="0"/>
          <w:bCs/>
          <w:sz w:val="32"/>
          <w:szCs w:val="32"/>
        </w:rPr>
      </w:pPr>
      <w:r>
        <w:rPr>
          <w:rFonts w:hint="eastAsia" w:ascii="黑体" w:hAnsi="黑体" w:eastAsia="黑体"/>
          <w:b w:val="0"/>
          <w:bCs/>
          <w:sz w:val="32"/>
          <w:szCs w:val="32"/>
        </w:rPr>
        <w:t>二、成绩业绩方面</w:t>
      </w:r>
    </w:p>
    <w:p w14:paraId="16D2F60C">
      <w:pPr>
        <w:spacing w:before="100" w:beforeAutospacing="1" w:after="100" w:afterAutospacing="1" w:line="560" w:lineRule="exact"/>
        <w:ind w:firstLine="600" w:firstLineChars="200"/>
        <w:contextualSpacing/>
        <w:rPr>
          <w:rFonts w:ascii="仿宋_GB2312" w:hAnsi="黑体" w:eastAsia="仿宋_GB2312"/>
          <w:b w:val="0"/>
          <w:bCs/>
          <w:sz w:val="32"/>
          <w:szCs w:val="32"/>
        </w:rPr>
      </w:pPr>
      <w:r>
        <w:rPr>
          <w:rFonts w:hint="eastAsia" w:ascii="仿宋_GB2312" w:hAnsi="黑体" w:eastAsia="仿宋_GB2312"/>
          <w:b w:val="0"/>
          <w:bCs/>
          <w:sz w:val="32"/>
          <w:szCs w:val="32"/>
        </w:rPr>
        <w:t>以学校出具的加盖印章的研究生成绩单为准，按照表内对应分值赋分。学校成绩单未体现GPA的，按下列计算方法计算GPA。</w:t>
      </w:r>
    </w:p>
    <w:p w14:paraId="057265FF">
      <w:pPr>
        <w:spacing w:before="100" w:beforeAutospacing="1" w:after="100" w:afterAutospacing="1" w:line="560" w:lineRule="exact"/>
        <w:ind w:firstLine="600" w:firstLineChars="200"/>
        <w:contextualSpacing/>
        <w:rPr>
          <w:rFonts w:ascii="仿宋_GB2312" w:hAnsi="黑体" w:eastAsia="仿宋_GB2312"/>
          <w:b w:val="0"/>
          <w:bCs/>
          <w:sz w:val="32"/>
          <w:szCs w:val="32"/>
        </w:rPr>
      </w:pPr>
      <w:r>
        <w:rPr>
          <w:rFonts w:hint="eastAsia" w:ascii="仿宋_GB2312" w:hAnsi="黑体" w:eastAsia="仿宋_GB2312"/>
          <w:b w:val="0"/>
          <w:bCs/>
          <w:sz w:val="32"/>
          <w:szCs w:val="32"/>
        </w:rPr>
        <w:t>GPA计算方法：</w:t>
      </w:r>
    </w:p>
    <w:p w14:paraId="3EFBCB62">
      <w:pPr>
        <w:spacing w:before="100" w:beforeAutospacing="1" w:after="100" w:afterAutospacing="1" w:line="560" w:lineRule="exact"/>
        <w:ind w:firstLine="600" w:firstLineChars="200"/>
        <w:contextualSpacing/>
        <w:rPr>
          <w:rFonts w:ascii="仿宋_GB2312" w:hAnsi="黑体" w:eastAsia="仿宋_GB2312"/>
          <w:b w:val="0"/>
          <w:bCs/>
          <w:sz w:val="32"/>
          <w:szCs w:val="32"/>
        </w:rPr>
      </w:pPr>
      <w:r>
        <w:rPr>
          <w:rFonts w:hint="eastAsia" w:ascii="仿宋_GB2312" w:hAnsi="黑体" w:eastAsia="仿宋_GB2312"/>
          <w:b w:val="0"/>
          <w:bCs/>
          <w:sz w:val="32"/>
          <w:szCs w:val="32"/>
        </w:rPr>
        <w:t>GPA＝所学课程学分绩点之和÷所学课程学分之和。</w:t>
      </w:r>
    </w:p>
    <w:p w14:paraId="14E2353C">
      <w:pPr>
        <w:spacing w:before="100" w:beforeAutospacing="1" w:after="100" w:afterAutospacing="1" w:line="560" w:lineRule="exact"/>
        <w:ind w:firstLine="600" w:firstLineChars="200"/>
        <w:contextualSpacing/>
        <w:rPr>
          <w:rFonts w:ascii="仿宋_GB2312" w:hAnsi="黑体" w:eastAsia="仿宋_GB2312"/>
          <w:b w:val="0"/>
          <w:bCs/>
          <w:sz w:val="32"/>
          <w:szCs w:val="32"/>
        </w:rPr>
      </w:pPr>
      <w:r>
        <w:rPr>
          <w:rFonts w:hint="eastAsia" w:ascii="仿宋_GB2312" w:hAnsi="黑体" w:eastAsia="仿宋_GB2312"/>
          <w:b w:val="0"/>
          <w:bCs/>
          <w:sz w:val="32"/>
          <w:szCs w:val="32"/>
        </w:rPr>
        <w:t>课程学分绩点=课程绩点×学分数。</w:t>
      </w:r>
    </w:p>
    <w:p w14:paraId="725897C6">
      <w:pPr>
        <w:spacing w:before="100" w:beforeAutospacing="1" w:after="100" w:afterAutospacing="1" w:line="560" w:lineRule="exact"/>
        <w:ind w:firstLine="600" w:firstLineChars="200"/>
        <w:contextualSpacing/>
        <w:rPr>
          <w:rFonts w:ascii="仿宋_GB2312" w:hAnsi="黑体" w:eastAsia="仿宋_GB2312"/>
          <w:b w:val="0"/>
          <w:bCs/>
          <w:sz w:val="32"/>
          <w:szCs w:val="32"/>
        </w:rPr>
      </w:pPr>
      <w:r>
        <w:rPr>
          <w:rFonts w:hint="eastAsia" w:ascii="仿宋_GB2312" w:hAnsi="黑体" w:eastAsia="仿宋_GB2312"/>
          <w:b w:val="0"/>
          <w:bCs/>
          <w:sz w:val="32"/>
          <w:szCs w:val="32"/>
        </w:rPr>
        <w:t>课程绩点=4-3（100-X）^2/1600（60≤X≤100，X 为百分制课程分数）。</w:t>
      </w:r>
    </w:p>
    <w:p w14:paraId="60A78965">
      <w:pPr>
        <w:spacing w:before="100" w:beforeAutospacing="1" w:after="100" w:afterAutospacing="1" w:line="560" w:lineRule="exact"/>
        <w:ind w:firstLine="600" w:firstLineChars="200"/>
        <w:contextualSpacing/>
        <w:rPr>
          <w:rFonts w:ascii="仿宋_GB2312" w:hAnsi="黑体" w:eastAsia="仿宋_GB2312"/>
          <w:b w:val="0"/>
          <w:bCs/>
          <w:sz w:val="32"/>
          <w:szCs w:val="32"/>
        </w:rPr>
      </w:pPr>
      <w:r>
        <w:rPr>
          <w:rFonts w:hint="eastAsia" w:ascii="仿宋_GB2312" w:hAnsi="黑体" w:eastAsia="仿宋_GB2312"/>
          <w:b w:val="0"/>
          <w:bCs/>
          <w:sz w:val="32"/>
          <w:szCs w:val="32"/>
        </w:rPr>
        <w:t>不以GPA为成绩评价标准的院校，按照本学校成绩业绩等级数量均分赋值，基础分为6分，总分为15分（需提供该学校成绩业绩评价等级）。</w:t>
      </w:r>
    </w:p>
    <w:p w14:paraId="4A219E8A">
      <w:pPr>
        <w:spacing w:before="100" w:beforeAutospacing="1" w:after="100" w:afterAutospacing="1" w:line="560" w:lineRule="exact"/>
        <w:ind w:firstLine="600" w:firstLineChars="200"/>
        <w:contextualSpacing/>
        <w:rPr>
          <w:rFonts w:ascii="仿宋_GB2312" w:hAnsi="黑体" w:eastAsia="仿宋_GB2312"/>
          <w:b w:val="0"/>
          <w:bCs/>
          <w:sz w:val="32"/>
          <w:szCs w:val="32"/>
        </w:rPr>
      </w:pPr>
      <w:r>
        <w:rPr>
          <w:rFonts w:hint="eastAsia" w:ascii="仿宋_GB2312" w:hAnsi="黑体" w:eastAsia="仿宋_GB2312"/>
          <w:b w:val="0"/>
          <w:bCs/>
          <w:sz w:val="32"/>
          <w:szCs w:val="32"/>
        </w:rPr>
        <w:t>不能提供有效成绩单的，不得分。</w:t>
      </w:r>
    </w:p>
    <w:p w14:paraId="1B2F1462">
      <w:pPr>
        <w:spacing w:before="100" w:beforeAutospacing="1" w:after="100" w:afterAutospacing="1" w:line="560" w:lineRule="exact"/>
        <w:ind w:firstLine="600" w:firstLineChars="200"/>
        <w:contextualSpacing/>
        <w:rPr>
          <w:rFonts w:ascii="黑体" w:hAnsi="黑体" w:eastAsia="黑体"/>
          <w:b w:val="0"/>
          <w:bCs/>
          <w:sz w:val="32"/>
          <w:szCs w:val="32"/>
        </w:rPr>
      </w:pPr>
      <w:r>
        <w:rPr>
          <w:rFonts w:hint="eastAsia" w:ascii="黑体" w:hAnsi="黑体" w:eastAsia="黑体"/>
          <w:b w:val="0"/>
          <w:bCs/>
          <w:sz w:val="32"/>
          <w:szCs w:val="32"/>
        </w:rPr>
        <w:t>三、研究成果方面</w:t>
      </w:r>
    </w:p>
    <w:p w14:paraId="1E6003A1">
      <w:pPr>
        <w:spacing w:before="100" w:beforeAutospacing="1" w:after="100" w:afterAutospacing="1" w:line="560" w:lineRule="exact"/>
        <w:ind w:firstLine="600" w:firstLineChars="200"/>
        <w:contextualSpacing/>
        <w:rPr>
          <w:rFonts w:ascii="仿宋_GB2312" w:hAnsi="黑体" w:eastAsia="仿宋_GB2312"/>
          <w:b w:val="0"/>
          <w:bCs/>
          <w:sz w:val="32"/>
          <w:szCs w:val="32"/>
        </w:rPr>
      </w:pPr>
      <w:r>
        <w:rPr>
          <w:rFonts w:hint="eastAsia" w:ascii="仿宋_GB2312" w:hAnsi="黑体" w:eastAsia="仿宋_GB2312"/>
          <w:b w:val="0"/>
          <w:bCs/>
          <w:sz w:val="32"/>
          <w:szCs w:val="32"/>
        </w:rPr>
        <w:t>（一）需提供检索页、扫描文本及作品文件。</w:t>
      </w:r>
    </w:p>
    <w:p w14:paraId="69BBE76B">
      <w:pPr>
        <w:spacing w:before="100" w:beforeAutospacing="1" w:after="100" w:afterAutospacing="1" w:line="560" w:lineRule="exact"/>
        <w:ind w:firstLine="600" w:firstLineChars="200"/>
        <w:contextualSpacing/>
        <w:rPr>
          <w:rFonts w:ascii="仿宋_GB2312" w:hAnsi="黑体" w:eastAsia="仿宋_GB2312"/>
          <w:b w:val="0"/>
          <w:bCs/>
          <w:sz w:val="32"/>
          <w:szCs w:val="32"/>
        </w:rPr>
      </w:pPr>
      <w:r>
        <w:rPr>
          <w:rFonts w:hint="eastAsia" w:ascii="仿宋_GB2312" w:hAnsi="黑体" w:eastAsia="仿宋_GB2312"/>
          <w:b w:val="0"/>
          <w:bCs/>
          <w:sz w:val="32"/>
          <w:szCs w:val="32"/>
        </w:rPr>
        <w:t>（二）通讯作者、共同一作按第一作者计分。</w:t>
      </w:r>
    </w:p>
    <w:p w14:paraId="32011041">
      <w:pPr>
        <w:spacing w:before="100" w:beforeAutospacing="1" w:after="100" w:afterAutospacing="1" w:line="560" w:lineRule="exact"/>
        <w:ind w:firstLine="600" w:firstLineChars="200"/>
        <w:contextualSpacing/>
        <w:rPr>
          <w:rFonts w:ascii="黑体" w:hAnsi="黑体" w:eastAsia="黑体"/>
          <w:b w:val="0"/>
          <w:bCs/>
          <w:sz w:val="32"/>
          <w:szCs w:val="32"/>
        </w:rPr>
      </w:pPr>
      <w:r>
        <w:rPr>
          <w:rFonts w:hint="eastAsia" w:ascii="黑体" w:hAnsi="黑体" w:eastAsia="黑体"/>
          <w:b w:val="0"/>
          <w:bCs/>
          <w:sz w:val="32"/>
          <w:szCs w:val="32"/>
        </w:rPr>
        <w:t>四、荣誉奖项方面</w:t>
      </w:r>
    </w:p>
    <w:p w14:paraId="0E4F9B8E">
      <w:pPr>
        <w:spacing w:before="100" w:beforeAutospacing="1" w:after="100" w:afterAutospacing="1" w:line="560" w:lineRule="exact"/>
        <w:ind w:firstLine="600" w:firstLineChars="200"/>
        <w:contextualSpacing/>
        <w:rPr>
          <w:rFonts w:ascii="仿宋_GB2312" w:hAnsi="黑体" w:eastAsia="仿宋_GB2312"/>
          <w:b w:val="0"/>
          <w:bCs/>
          <w:sz w:val="32"/>
          <w:szCs w:val="32"/>
        </w:rPr>
      </w:pPr>
      <w:r>
        <w:rPr>
          <w:rFonts w:hint="eastAsia" w:ascii="仿宋_GB2312" w:hAnsi="黑体" w:eastAsia="仿宋_GB2312"/>
          <w:b w:val="0"/>
          <w:bCs/>
          <w:sz w:val="32"/>
          <w:szCs w:val="32"/>
        </w:rPr>
        <w:t>（一）荣誉等级认定上以颁发、授予单位的级别为准，以表彰文件、表彰证书、获奖证书、荣誉证书等用章单位作为认定依据。国家级指党中央、国务院授予或颁发的荣誉，省级指中央和国家机关部委及省（自治区、直辖市）党委、政府授予或颁发的荣誉，市级指省（自治区、直辖市）党委政府委办厅局及市党委、政府或校级授予或颁发的荣誉。</w:t>
      </w:r>
    </w:p>
    <w:p w14:paraId="5AF0698B">
      <w:pPr>
        <w:spacing w:before="100" w:beforeAutospacing="1" w:after="100" w:afterAutospacing="1" w:line="560" w:lineRule="exact"/>
        <w:ind w:firstLine="600" w:firstLineChars="200"/>
        <w:contextualSpacing/>
        <w:rPr>
          <w:rFonts w:ascii="仿宋_GB2312" w:hAnsi="黑体" w:eastAsia="仿宋_GB2312"/>
          <w:b w:val="0"/>
          <w:bCs/>
          <w:sz w:val="32"/>
          <w:szCs w:val="32"/>
        </w:rPr>
      </w:pPr>
      <w:r>
        <w:rPr>
          <w:rFonts w:hint="eastAsia" w:ascii="仿宋_GB2312" w:hAnsi="黑体" w:eastAsia="仿宋_GB2312"/>
          <w:b w:val="0"/>
          <w:bCs/>
          <w:sz w:val="32"/>
          <w:szCs w:val="32"/>
        </w:rPr>
        <w:t>（二）各类协会、社会组织、组委会发放证书的不加分。</w:t>
      </w:r>
    </w:p>
    <w:p w14:paraId="531676D7">
      <w:pPr>
        <w:spacing w:before="100" w:beforeAutospacing="1" w:after="100" w:afterAutospacing="1" w:line="560" w:lineRule="exact"/>
        <w:ind w:firstLine="600" w:firstLineChars="200"/>
        <w:contextualSpacing/>
        <w:rPr>
          <w:rFonts w:ascii="黑体" w:hAnsi="黑体" w:eastAsia="黑体"/>
          <w:b w:val="0"/>
          <w:bCs/>
          <w:sz w:val="32"/>
          <w:szCs w:val="32"/>
        </w:rPr>
      </w:pPr>
      <w:r>
        <w:rPr>
          <w:rFonts w:ascii="黑体" w:hAnsi="黑体" w:eastAsia="黑体"/>
          <w:b w:val="0"/>
          <w:bCs/>
          <w:sz w:val="32"/>
          <w:szCs w:val="32"/>
        </w:rPr>
        <w:t>五、其他事项</w:t>
      </w:r>
    </w:p>
    <w:p w14:paraId="14A27ECD">
      <w:pPr>
        <w:spacing w:before="100" w:beforeAutospacing="1" w:after="100" w:afterAutospacing="1" w:line="560" w:lineRule="exact"/>
        <w:ind w:firstLine="600" w:firstLineChars="200"/>
        <w:contextualSpacing/>
        <w:rPr>
          <w:rFonts w:ascii="仿宋_GB2312" w:hAnsi="黑体" w:eastAsia="仿宋_GB2312"/>
          <w:b w:val="0"/>
          <w:bCs/>
          <w:sz w:val="32"/>
          <w:szCs w:val="32"/>
        </w:rPr>
      </w:pPr>
      <w:r>
        <w:rPr>
          <w:rFonts w:hint="eastAsia" w:ascii="仿宋_GB2312" w:hAnsi="黑体" w:eastAsia="仿宋_GB2312"/>
          <w:b w:val="0"/>
          <w:bCs/>
          <w:sz w:val="32"/>
          <w:szCs w:val="32"/>
        </w:rPr>
        <w:t>（一）请将《人才</w:t>
      </w:r>
      <w:r>
        <w:rPr>
          <w:rFonts w:hint="eastAsia" w:ascii="仿宋_GB2312" w:hAnsi="黑体" w:eastAsia="仿宋_GB2312"/>
          <w:b w:val="0"/>
          <w:bCs/>
          <w:sz w:val="32"/>
          <w:szCs w:val="32"/>
          <w:lang w:eastAsia="zh-CN"/>
        </w:rPr>
        <w:t>测评</w:t>
      </w:r>
      <w:r>
        <w:rPr>
          <w:rFonts w:hint="eastAsia" w:ascii="仿宋_GB2312" w:hAnsi="黑体" w:eastAsia="仿宋_GB2312"/>
          <w:b w:val="0"/>
          <w:bCs/>
          <w:sz w:val="32"/>
          <w:szCs w:val="32"/>
        </w:rPr>
        <w:t>表》及佐证材料附件发送至电子邮箱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cfrsjjgdw@163.com</w:t>
      </w:r>
      <w:r>
        <w:rPr>
          <w:rFonts w:hint="eastAsia" w:ascii="仿宋_GB2312" w:hAnsi="黑体" w:eastAsia="仿宋_GB2312"/>
          <w:b w:val="0"/>
          <w:bCs/>
          <w:sz w:val="32"/>
          <w:szCs w:val="32"/>
        </w:rPr>
        <w:t>。《人才</w:t>
      </w:r>
      <w:r>
        <w:rPr>
          <w:rFonts w:hint="eastAsia" w:ascii="仿宋_GB2312" w:hAnsi="黑体" w:eastAsia="仿宋_GB2312"/>
          <w:b w:val="0"/>
          <w:bCs/>
          <w:sz w:val="32"/>
          <w:szCs w:val="32"/>
          <w:lang w:eastAsia="zh-CN"/>
        </w:rPr>
        <w:t>测评</w:t>
      </w:r>
      <w:r>
        <w:rPr>
          <w:rFonts w:hint="eastAsia" w:ascii="仿宋_GB2312" w:hAnsi="黑体" w:eastAsia="仿宋_GB2312"/>
          <w:b w:val="0"/>
          <w:bCs/>
          <w:sz w:val="32"/>
          <w:szCs w:val="32"/>
        </w:rPr>
        <w:t>表》中自评得分项应在赋分标准中如实选择，各项目佐证材料需与自评分数对应，无法提供佐证材料的，该评价项目不计得分。</w:t>
      </w:r>
    </w:p>
    <w:p w14:paraId="568D6C5A">
      <w:pPr>
        <w:spacing w:before="100" w:beforeAutospacing="1" w:after="100" w:afterAutospacing="1" w:line="560" w:lineRule="exact"/>
        <w:ind w:firstLine="600" w:firstLineChars="200"/>
        <w:contextualSpacing/>
        <w:rPr>
          <w:rFonts w:ascii="仿宋_GB2312" w:hAnsi="黑体" w:eastAsia="仿宋_GB2312"/>
          <w:b w:val="0"/>
          <w:bCs/>
          <w:sz w:val="32"/>
          <w:szCs w:val="32"/>
        </w:rPr>
      </w:pPr>
      <w:r>
        <w:rPr>
          <w:rFonts w:hint="eastAsia" w:ascii="仿宋_GB2312" w:hAnsi="黑体" w:eastAsia="仿宋_GB2312"/>
          <w:b w:val="0"/>
          <w:bCs/>
          <w:sz w:val="32"/>
          <w:szCs w:val="32"/>
        </w:rPr>
        <w:t>（二）请如实填报、上传相关信息、材料，如有弄虚作假行为取消面试资格。</w:t>
      </w:r>
    </w:p>
    <w:p w14:paraId="7A34F6E9">
      <w:pPr>
        <w:spacing w:before="100" w:beforeAutospacing="1" w:after="100" w:afterAutospacing="1" w:line="560" w:lineRule="exact"/>
        <w:ind w:firstLine="600" w:firstLineChars="200"/>
        <w:contextualSpacing/>
        <w:rPr>
          <w:rFonts w:ascii="仿宋_GB2312" w:hAnsi="黑体" w:eastAsia="仿宋_GB2312"/>
          <w:b w:val="0"/>
          <w:bCs/>
          <w:sz w:val="32"/>
          <w:szCs w:val="32"/>
        </w:rPr>
      </w:pPr>
      <w:r>
        <w:rPr>
          <w:rFonts w:hint="eastAsia" w:ascii="仿宋_GB2312" w:hAnsi="黑体" w:eastAsia="仿宋_GB2312"/>
          <w:b w:val="0"/>
          <w:bCs/>
          <w:sz w:val="32"/>
          <w:szCs w:val="32"/>
        </w:rPr>
        <w:t>（三）我单位人才评价截止时间为202</w:t>
      </w:r>
      <w:r>
        <w:rPr>
          <w:rFonts w:hint="eastAsia" w:ascii="仿宋_GB2312" w:hAnsi="黑体" w:eastAsia="仿宋_GB2312"/>
          <w:b w:val="0"/>
          <w:bCs/>
          <w:sz w:val="32"/>
          <w:szCs w:val="32"/>
          <w:lang w:val="en-US" w:eastAsia="zh-CN"/>
        </w:rPr>
        <w:t>6</w:t>
      </w:r>
      <w:r>
        <w:rPr>
          <w:rFonts w:hint="eastAsia" w:ascii="仿宋_GB2312" w:hAnsi="黑体" w:eastAsia="仿宋_GB2312"/>
          <w:b w:val="0"/>
          <w:bCs/>
          <w:sz w:val="32"/>
          <w:szCs w:val="32"/>
        </w:rPr>
        <w:t>年</w:t>
      </w:r>
      <w:r>
        <w:rPr>
          <w:rFonts w:hint="eastAsia" w:ascii="仿宋_GB2312" w:hAnsi="黑体" w:eastAsia="仿宋_GB2312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黑体" w:eastAsia="仿宋_GB2312"/>
          <w:b w:val="0"/>
          <w:bCs/>
          <w:sz w:val="32"/>
          <w:szCs w:val="32"/>
        </w:rPr>
        <w:t>月</w:t>
      </w:r>
      <w:r>
        <w:rPr>
          <w:rFonts w:hint="eastAsia" w:ascii="仿宋_GB2312" w:hAnsi="黑体" w:eastAsia="仿宋_GB2312"/>
          <w:b w:val="0"/>
          <w:bCs/>
          <w:sz w:val="32"/>
          <w:szCs w:val="32"/>
          <w:lang w:val="en-US" w:eastAsia="zh-CN"/>
        </w:rPr>
        <w:t>12</w:t>
      </w:r>
      <w:r>
        <w:rPr>
          <w:rFonts w:hint="eastAsia" w:ascii="仿宋_GB2312" w:hAnsi="黑体" w:eastAsia="仿宋_GB2312"/>
          <w:b w:val="0"/>
          <w:bCs/>
          <w:sz w:val="32"/>
          <w:szCs w:val="32"/>
        </w:rPr>
        <w:t>日（周</w:t>
      </w:r>
      <w:r>
        <w:rPr>
          <w:rFonts w:hint="eastAsia" w:ascii="仿宋_GB2312" w:hAnsi="黑体" w:eastAsia="仿宋_GB2312"/>
          <w:b w:val="0"/>
          <w:bCs/>
          <w:sz w:val="32"/>
          <w:szCs w:val="32"/>
          <w:lang w:eastAsia="zh-CN"/>
        </w:rPr>
        <w:t>一</w:t>
      </w:r>
      <w:r>
        <w:rPr>
          <w:rFonts w:hint="eastAsia" w:ascii="仿宋_GB2312" w:hAnsi="黑体" w:eastAsia="仿宋_GB2312"/>
          <w:b w:val="0"/>
          <w:bCs/>
          <w:sz w:val="32"/>
          <w:szCs w:val="32"/>
        </w:rPr>
        <w:t>）1</w:t>
      </w:r>
      <w:r>
        <w:rPr>
          <w:rFonts w:hint="eastAsia" w:ascii="仿宋_GB2312" w:hAnsi="黑体" w:eastAsia="仿宋_GB2312"/>
          <w:b w:val="0"/>
          <w:bCs/>
          <w:sz w:val="32"/>
          <w:szCs w:val="32"/>
          <w:lang w:val="en-US" w:eastAsia="zh-CN"/>
        </w:rPr>
        <w:t>7</w:t>
      </w:r>
      <w:r>
        <w:rPr>
          <w:rFonts w:hint="eastAsia" w:ascii="仿宋_GB2312" w:hAnsi="黑体" w:eastAsia="仿宋_GB2312"/>
          <w:b w:val="0"/>
          <w:bCs/>
          <w:sz w:val="32"/>
          <w:szCs w:val="32"/>
        </w:rPr>
        <w:t>:00，逾期未发送至邮箱视为不再报名本岗位（以邮箱接收到邮件时间为准）。</w:t>
      </w:r>
    </w:p>
    <w:p w14:paraId="0D061888">
      <w:pPr>
        <w:rPr>
          <w:rFonts w:ascii="仿宋_GB2312" w:eastAsia="仿宋_GB2312"/>
          <w:b w:val="0"/>
          <w:bCs/>
          <w:sz w:val="21"/>
          <w:szCs w:val="21"/>
        </w:rPr>
      </w:pPr>
      <w:bookmarkStart w:id="0" w:name="_GoBack"/>
      <w:bookmarkEnd w:id="0"/>
    </w:p>
    <w:sectPr>
      <w:pgSz w:w="11906" w:h="16838"/>
      <w:pgMar w:top="1588" w:right="1474" w:bottom="1474" w:left="1474" w:header="851" w:footer="992" w:gutter="0"/>
      <w:cols w:space="425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301"/>
  <w:drawingGridVerticalSpacing w:val="43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2CE"/>
    <w:rsid w:val="000050B3"/>
    <w:rsid w:val="00005DC4"/>
    <w:rsid w:val="0006762B"/>
    <w:rsid w:val="000811FC"/>
    <w:rsid w:val="000A0FF5"/>
    <w:rsid w:val="000F4961"/>
    <w:rsid w:val="001D52CE"/>
    <w:rsid w:val="00304BAC"/>
    <w:rsid w:val="003177E0"/>
    <w:rsid w:val="0032431C"/>
    <w:rsid w:val="004A7F2C"/>
    <w:rsid w:val="005C6235"/>
    <w:rsid w:val="00612543"/>
    <w:rsid w:val="00670192"/>
    <w:rsid w:val="0068662B"/>
    <w:rsid w:val="008D17E8"/>
    <w:rsid w:val="00950DB5"/>
    <w:rsid w:val="00A24D63"/>
    <w:rsid w:val="00A5380B"/>
    <w:rsid w:val="00B918E3"/>
    <w:rsid w:val="00D8021D"/>
    <w:rsid w:val="0A494F78"/>
    <w:rsid w:val="0EEB5946"/>
    <w:rsid w:val="123A5FEE"/>
    <w:rsid w:val="384154AB"/>
    <w:rsid w:val="3C711143"/>
    <w:rsid w:val="5C0551EC"/>
    <w:rsid w:val="764136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99"/>
    <w:rPr>
      <w:rFonts w:ascii="宋体" w:hAnsi="宋体" w:eastAsia="宋体" w:cs="Times New Roman"/>
      <w:b/>
      <w:spacing w:val="-1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赤峰市人力资源和社会保障局</Company>
  <Pages>3</Pages>
  <Words>1624</Words>
  <Characters>1894</Characters>
  <Lines>7</Lines>
  <Paragraphs>2</Paragraphs>
  <TotalTime>2</TotalTime>
  <ScaleCrop>false</ScaleCrop>
  <LinksUpToDate>false</LinksUpToDate>
  <CharactersWithSpaces>1955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2022-04-29T17:07:00Z</dcterms:created>
  <dc:creator>Yuan</dc:creator>
  <cp:lastModifiedBy>Administrator</cp:lastModifiedBy>
  <cp:lastPrinted>2025-04-22T01:52:00Z</cp:lastPrinted>
  <dcterms:modified xsi:type="dcterms:W3CDTF">2026-01-05T09:03:48Z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F1BE0198165043C184CA51A4598839F5_13</vt:lpwstr>
  </property>
  <property fmtid="{D5CDD505-2E9C-101B-9397-08002B2CF9AE}" pid="4" name="KSOTemplateDocerSaveRecord">
    <vt:lpwstr>eyJoZGlkIjoiMTdjODBjNjQyMDU0Yjk4NjljOTMzMzBlOGJiNDc5NjciLCJ1c2VySWQiOiI0NzM5NzYzMDEifQ==</vt:lpwstr>
  </property>
</Properties>
</file>