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323B5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标准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5FF52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</w:t>
      </w:r>
      <w:r>
        <w:rPr>
          <w:rFonts w:hint="eastAsia" w:ascii="楷体_GB2312" w:hAnsi="楷体_GB2312" w:eastAsia="楷体_GB2312" w:cs="楷体_GB2312"/>
          <w:b w:val="0"/>
          <w:sz w:val="32"/>
          <w:szCs w:val="32"/>
          <w:lang w:val="en-US" w:eastAsia="zh-CN"/>
        </w:rPr>
        <w:t>邮政业安全和发展中心</w:t>
      </w: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）</w:t>
      </w:r>
    </w:p>
    <w:p w14:paraId="620E6EFB"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 w14:paraId="3B7F6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1B80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BB551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33BF69E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85426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D60CB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776F523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9244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DA7D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6C7A4B18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20C38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DF37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A7312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8C27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06AAF3AC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 w14:paraId="3BC91B64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75F09A6E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 w14:paraId="41BBAFB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49161D2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BA9B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DD18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5B49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B57A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9F062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2D6D6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71B37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00A82FF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 w14:paraId="2D979C57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555EF31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 w14:paraId="26EFB59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1D89AAB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CC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3A96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D2438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33817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23DD42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31D53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F0E94"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B5B1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F7BC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0C89C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F399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ADFAD1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0A92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1B0B1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 w14:paraId="7CECE895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926B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BCDE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7430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33085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A2EF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2A6C1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44EC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 w14:paraId="727EA911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 w14:paraId="5EFEAFA0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 w14:paraId="62B55E4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C6A9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A493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3197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77EE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797C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06E30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7B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both"/>
              <w:textAlignment w:val="auto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不设置，所有报名合格人员得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0A920"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18DA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A0EF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5E269BB8">
      <w:pPr>
        <w:rPr>
          <w:rFonts w:ascii="仿宋_GB2312" w:eastAsia="仿宋_GB2312"/>
          <w:b w:val="0"/>
          <w:sz w:val="21"/>
          <w:szCs w:val="21"/>
        </w:rPr>
      </w:pPr>
    </w:p>
    <w:p w14:paraId="4EAEC4C2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 w14:paraId="013A27DB"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 w14:paraId="0B4B4429"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0df75272-8ebf-411f-91a5-fa8e7bbb1f9c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3863E70"/>
    <w:rsid w:val="093D4D54"/>
    <w:rsid w:val="09C46765"/>
    <w:rsid w:val="0BDA67C9"/>
    <w:rsid w:val="10134218"/>
    <w:rsid w:val="12482F23"/>
    <w:rsid w:val="1AF97477"/>
    <w:rsid w:val="1CFC20A0"/>
    <w:rsid w:val="330218F0"/>
    <w:rsid w:val="3B1324C5"/>
    <w:rsid w:val="3FA847CC"/>
    <w:rsid w:val="49F066BF"/>
    <w:rsid w:val="4DBD0550"/>
    <w:rsid w:val="4EE259CC"/>
    <w:rsid w:val="51412DBB"/>
    <w:rsid w:val="55E05161"/>
    <w:rsid w:val="5C4A57F7"/>
    <w:rsid w:val="5EE44030"/>
    <w:rsid w:val="66367C93"/>
    <w:rsid w:val="6D283351"/>
    <w:rsid w:val="6FD168D1"/>
    <w:rsid w:val="7451210C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724</Words>
  <Characters>880</Characters>
  <Lines>7</Lines>
  <Paragraphs>1</Paragraphs>
  <TotalTime>0</TotalTime>
  <ScaleCrop>false</ScaleCrop>
  <LinksUpToDate>false</LinksUpToDate>
  <CharactersWithSpaces>938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Administrator</cp:lastModifiedBy>
  <cp:lastPrinted>2023-05-15T06:55:00Z</cp:lastPrinted>
  <dcterms:modified xsi:type="dcterms:W3CDTF">2026-01-05T01:14:45Z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D2E230D213A8471C98C4FEE9F53625C0_13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