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4A08"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</w:t>
      </w:r>
    </w:p>
    <w:p w14:paraId="71B067EA">
      <w:pPr>
        <w:jc w:val="center"/>
        <w:rPr>
          <w:rFonts w:hint="eastAsia"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2026年度翁牛特旗事业单位“绿色通道”</w:t>
      </w:r>
    </w:p>
    <w:p w14:paraId="386B3E82"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引进人才评价表</w:t>
      </w:r>
    </w:p>
    <w:p w14:paraId="4347BAF4">
      <w:pPr>
        <w:rPr>
          <w:rFonts w:hint="eastAsia" w:ascii="黑体" w:hAnsi="黑体" w:eastAsia="黑体"/>
          <w:sz w:val="24"/>
          <w:szCs w:val="24"/>
        </w:rPr>
      </w:pPr>
    </w:p>
    <w:p w14:paraId="14720AD0">
      <w:pPr>
        <w:rPr>
          <w:rFonts w:hint="eastAsia"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4"/>
        </w:rPr>
        <w:t>姓名:                     岗位代码:                 自评得分</w:t>
      </w:r>
      <w:r>
        <w:rPr>
          <w:rFonts w:hint="eastAsia" w:ascii="黑体" w:hAnsi="黑体" w:eastAsia="黑体"/>
          <w:sz w:val="24"/>
          <w:szCs w:val="21"/>
        </w:rPr>
        <w:t>:</w:t>
      </w:r>
    </w:p>
    <w:tbl>
      <w:tblPr>
        <w:tblStyle w:val="4"/>
        <w:tblW w:w="91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84"/>
        <w:gridCol w:w="4839"/>
        <w:gridCol w:w="810"/>
        <w:gridCol w:w="1017"/>
        <w:gridCol w:w="753"/>
      </w:tblGrid>
      <w:tr w14:paraId="7EAA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4716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评价类别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32F8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评价</w:t>
            </w:r>
          </w:p>
          <w:p w14:paraId="4689FA62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项目</w:t>
            </w:r>
          </w:p>
        </w:tc>
        <w:tc>
          <w:tcPr>
            <w:tcW w:w="4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66C8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赋分标准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E7FC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赋分</w:t>
            </w:r>
          </w:p>
          <w:p w14:paraId="61367FB8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总分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2F63">
            <w:pPr>
              <w:widowControl/>
              <w:jc w:val="center"/>
              <w:rPr>
                <w:rFonts w:ascii="仿宋" w:hAnsi="仿宋" w:eastAsia="仿宋" w:cs="宋体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自评</w:t>
            </w:r>
          </w:p>
          <w:p w14:paraId="5ED1467E">
            <w:pPr>
              <w:widowControl/>
              <w:jc w:val="center"/>
              <w:rPr>
                <w:rFonts w:hint="eastAsia" w:ascii="仿宋" w:hAnsi="仿宋" w:eastAsia="仿宋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18"/>
                <w:szCs w:val="18"/>
              </w:rPr>
              <w:t>得分项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F0B2">
            <w:pPr>
              <w:widowControl/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自评</w:t>
            </w:r>
          </w:p>
          <w:p w14:paraId="23464C5D">
            <w:pPr>
              <w:jc w:val="center"/>
              <w:rPr>
                <w:rFonts w:ascii="仿宋" w:hAnsi="仿宋" w:eastAsia="仿宋" w:cs="宋体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 w:val="21"/>
                <w:szCs w:val="21"/>
              </w:rPr>
              <w:t>得分</w:t>
            </w:r>
          </w:p>
        </w:tc>
      </w:tr>
      <w:tr w14:paraId="3EF7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0E5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</w:rPr>
              <w:t>人才公共评价项目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493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学历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层次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8060">
            <w:pPr>
              <w:widowControl/>
              <w:spacing w:line="240" w:lineRule="exact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本  科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国内一流大学且一流学科者得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分，一流大学非一流学科者得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分，其他学校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3F68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83D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51C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 w14:paraId="1CC7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688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1A0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>研究生(国内)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：</w:t>
            </w:r>
          </w:p>
          <w:p w14:paraId="6DB7C1B6"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国 内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：国内一流大学且一流学科者得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分，一流大学非一流学科者得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分，其他学校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。</w:t>
            </w:r>
          </w:p>
          <w:p w14:paraId="1A40C9E7">
            <w:pPr>
              <w:widowControl/>
              <w:spacing w:line="240" w:lineRule="exact"/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研究生(国外)：</w:t>
            </w:r>
          </w:p>
          <w:p w14:paraId="1565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权威世界大学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排名1-200名的，得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 w14:paraId="21E0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权威世界大学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排名201-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00名的，得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分；</w:t>
            </w:r>
          </w:p>
          <w:p w14:paraId="7719A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eastAsia="zh-CN"/>
              </w:rPr>
              <w:t>权威世界大学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排名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01-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00名的，得</w:t>
            </w: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18"/>
                <w:szCs w:val="18"/>
              </w:rPr>
              <w:t>分。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BA9C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C6A7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E1EE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 w14:paraId="1074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9CA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3C26">
            <w:pPr>
              <w:spacing w:line="240" w:lineRule="exact"/>
              <w:jc w:val="center"/>
              <w:rPr>
                <w:rFonts w:hint="eastAsia" w:ascii="仿宋" w:hAnsi="仿宋" w:eastAsia="仿宋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成绩业绩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6FCC">
            <w:pPr>
              <w:spacing w:line="240" w:lineRule="exact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</w:rPr>
              <w:t>生成绩：</w:t>
            </w:r>
          </w:p>
          <w:p w14:paraId="02BC5C23"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95-100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 w14:paraId="3770D5AC"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90-94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 w14:paraId="30967677"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85-89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 w14:paraId="488EB948">
            <w:pPr>
              <w:spacing w:line="240" w:lineRule="exact"/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80-84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，</w:t>
            </w:r>
          </w:p>
          <w:p w14:paraId="2F8AB2CF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75-79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 w14:paraId="166B8C1B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70-74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 w14:paraId="651514A3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65-69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 w14:paraId="0C6A912E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60-64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793D"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2AD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5934">
            <w:pPr>
              <w:spacing w:line="240" w:lineRule="exact"/>
              <w:jc w:val="center"/>
              <w:rPr>
                <w:rFonts w:ascii="仿宋" w:hAnsi="仿宋" w:eastAsia="仿宋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4F9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7D3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B2D7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517E">
            <w:pPr>
              <w:spacing w:line="240" w:lineRule="exact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</w:rPr>
              <w:t>研究生成绩：</w:t>
            </w:r>
          </w:p>
          <w:p w14:paraId="2D081065"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95-100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 w14:paraId="4B3C3674"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90-94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 w14:paraId="40A2C609">
            <w:pPr>
              <w:spacing w:line="240" w:lineRule="exact"/>
              <w:rPr>
                <w:rFonts w:ascii="仿宋" w:hAnsi="仿宋" w:eastAsia="仿宋" w:cs="宋体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85-89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分，</w:t>
            </w:r>
          </w:p>
          <w:p w14:paraId="522BBC9C">
            <w:pPr>
              <w:spacing w:line="240" w:lineRule="exact"/>
              <w:rPr>
                <w:rFonts w:hint="eastAsia" w:ascii="仿宋" w:hAnsi="仿宋" w:eastAsia="仿宋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80-84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，</w:t>
            </w:r>
          </w:p>
          <w:p w14:paraId="52D38D8C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75-79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 w14:paraId="69CD2213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70-74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 w14:paraId="72CAA88A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65-69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,</w:t>
            </w:r>
          </w:p>
          <w:p w14:paraId="08A71FB6">
            <w:pPr>
              <w:spacing w:line="240" w:lineRule="exact"/>
              <w:rPr>
                <w:rFonts w:hint="eastAsia" w:ascii="仿宋" w:hAnsi="仿宋" w:eastAsia="仿宋" w:cs="宋体"/>
                <w:color w:val="auto"/>
                <w:spacing w:val="-4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平均分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为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60-64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4A64">
            <w:pPr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C9F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62E6">
            <w:pPr>
              <w:spacing w:line="240" w:lineRule="exact"/>
              <w:jc w:val="center"/>
              <w:rPr>
                <w:rFonts w:ascii="仿宋" w:hAnsi="仿宋" w:eastAsia="仿宋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C1E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D38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7291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研究成果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作为第一作者发表论文文章且被SCI收录者，每篇得5分；作为除导师以外第一作者发表论文文章且被SCI收录者，每篇得3分；作为除导师以外第二作者发表论文文章且被SCI收录者，每篇得1分；作为第一作者发表论文文章且被EI收录者，每篇得1分；同一篇文章按最高分计算，发表多篇的累加不超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分。</w:t>
            </w:r>
          </w:p>
          <w:p w14:paraId="0F58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（发表时间须在本公告发布前，否则不计分）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8601">
            <w:pPr>
              <w:spacing w:line="240" w:lineRule="exact"/>
              <w:jc w:val="center"/>
              <w:rPr>
                <w:rFonts w:hint="default" w:ascii="仿宋" w:hAnsi="仿宋" w:eastAsia="仿宋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99E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EAB0">
            <w:pPr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  <w:tr w14:paraId="3F41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579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2405"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荣誉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C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获得国家级荣誉者每项得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分；</w:t>
            </w:r>
          </w:p>
          <w:p w14:paraId="2051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获得省级荣誉者每项得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分；</w:t>
            </w:r>
          </w:p>
          <w:p w14:paraId="5E0A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获得市级荣誉者每项得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val="en-US" w:eastAsia="zh-CN"/>
              </w:rPr>
              <w:t>;</w:t>
            </w:r>
          </w:p>
          <w:p w14:paraId="25D9E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各项累加不超过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83C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A0C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D7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</w:p>
        </w:tc>
      </w:tr>
    </w:tbl>
    <w:p w14:paraId="2845BB97">
      <w:pPr>
        <w:spacing w:line="440" w:lineRule="exact"/>
        <w:rPr>
          <w:rFonts w:ascii="仿宋" w:hAnsi="仿宋" w:eastAsia="仿宋"/>
          <w:b/>
          <w:szCs w:val="21"/>
        </w:rPr>
      </w:pPr>
    </w:p>
    <w:p w14:paraId="3D5E43D1">
      <w:pPr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本人签字：  </w:t>
      </w:r>
      <w:r>
        <w:rPr>
          <w:rFonts w:hint="eastAsia" w:ascii="仿宋" w:hAnsi="仿宋" w:eastAsia="仿宋"/>
          <w:szCs w:val="21"/>
        </w:rPr>
        <w:t xml:space="preserve">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Cs w:val="21"/>
          <w:lang w:eastAsia="zh-CN"/>
        </w:rPr>
        <w:t>身份证号：</w:t>
      </w:r>
      <w:r>
        <w:rPr>
          <w:rFonts w:hint="eastAsia" w:ascii="仿宋" w:hAnsi="仿宋" w:eastAsia="仿宋"/>
          <w:b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</w:t>
      </w:r>
      <w:r>
        <w:rPr>
          <w:rFonts w:hint="eastAsia" w:ascii="仿宋" w:hAnsi="仿宋" w:eastAsia="仿宋"/>
          <w:b/>
          <w:szCs w:val="21"/>
        </w:rPr>
        <w:t xml:space="preserve">  联系电话：</w:t>
      </w:r>
    </w:p>
    <w:p w14:paraId="4C2F55C7">
      <w:pPr>
        <w:rPr>
          <w:rFonts w:hint="eastAsia" w:ascii="仿宋" w:hAnsi="仿宋" w:eastAsia="仿宋"/>
          <w:b/>
          <w:szCs w:val="21"/>
        </w:rPr>
      </w:pPr>
    </w:p>
    <w:p w14:paraId="0F143210"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填 表 说 明</w:t>
      </w:r>
    </w:p>
    <w:p w14:paraId="1B7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06B8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一、学历</w:t>
      </w:r>
      <w:r>
        <w:rPr>
          <w:rFonts w:hint="eastAsia" w:ascii="黑体" w:hAnsi="黑体" w:eastAsia="黑体"/>
          <w:sz w:val="32"/>
          <w:szCs w:val="32"/>
        </w:rPr>
        <w:t>层次方面：</w:t>
      </w:r>
    </w:p>
    <w:p w14:paraId="21AF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学历层次单独计分，成绩业绩得分以报名学历为准，不得重复加分。</w:t>
      </w:r>
    </w:p>
    <w:p w14:paraId="660B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海外学历学校排名，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按毕业当年的英国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QS世界大学排名、泰晤士高等教育世界大学排名、《美国新闻与世界报道》世界大学排名、软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科世界大学学术排名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最高为准。报名人员提供当年权威世界大学综合排名信息（文件或网页）。无法准确查询确认的，海外院校以202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年英国QS世界大学排名为准。</w:t>
      </w:r>
    </w:p>
    <w:p w14:paraId="088E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二、成绩业绩方面：</w:t>
      </w:r>
    </w:p>
    <w:p w14:paraId="7A42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以学校出具的加盖印章的本科生、研究生成绩单为准，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计算成绩单上所有课程的百分制平均成绩（以数值体现的可计算成绩）。如成绩单体现百分制平均成绩，直接以此得分。</w:t>
      </w:r>
    </w:p>
    <w:p w14:paraId="17F87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每两个成绩区间，以低分取值（如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百分制平均成绩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64.7</w:t>
      </w:r>
      <w:r>
        <w:rPr>
          <w:rFonts w:hint="eastAsia" w:ascii="仿宋_GB2312" w:hAnsi="仿宋_GB2312" w:eastAsia="仿宋_GB2312" w:cs="仿宋_GB2312"/>
          <w:sz w:val="32"/>
          <w:szCs w:val="32"/>
        </w:rPr>
        <w:t>，得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不能提供有效成绩单的，不得分。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60分以下不计成绩。</w:t>
      </w:r>
    </w:p>
    <w:p w14:paraId="0F0A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三、研究成果</w:t>
      </w:r>
      <w:r>
        <w:rPr>
          <w:rFonts w:hint="eastAsia" w:ascii="黑体" w:hAnsi="黑体" w:eastAsia="黑体"/>
          <w:sz w:val="32"/>
          <w:szCs w:val="32"/>
        </w:rPr>
        <w:t>方面：</w:t>
      </w:r>
    </w:p>
    <w:p w14:paraId="1E60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查询结果、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检索页、扫描文本及作品文件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，否则不计分。</w:t>
      </w:r>
    </w:p>
    <w:p w14:paraId="69BB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通讯作者、共同一作按第一作者计分。</w:t>
      </w:r>
    </w:p>
    <w:p w14:paraId="0DEAF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获得荣誉方面：</w:t>
      </w:r>
    </w:p>
    <w:p w14:paraId="173A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政府委办厅局及市党委、政府授予或颁发的荣誉。</w:t>
      </w:r>
    </w:p>
    <w:p w14:paraId="569E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2.在校期间获得“国家奖学金”和“国家励志奖学金”的不计分。</w:t>
      </w:r>
    </w:p>
    <w:p w14:paraId="203F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3.学校授予的荣誉不计算得分。</w:t>
      </w:r>
    </w:p>
    <w:p w14:paraId="4F445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4.各类协会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、学会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、社会组织、组委会发放证书的不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6ECD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注意：自评表最高得分为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100分。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TJmNGU0OTUxNWMzZmVhY2MwOWJjNjViOGJmNDgifQ=="/>
  </w:docVars>
  <w:rsids>
    <w:rsidRoot w:val="00000000"/>
    <w:rsid w:val="00B00B6B"/>
    <w:rsid w:val="02A97FD3"/>
    <w:rsid w:val="04846602"/>
    <w:rsid w:val="074F6467"/>
    <w:rsid w:val="09641007"/>
    <w:rsid w:val="0A6D18E6"/>
    <w:rsid w:val="0B191EC3"/>
    <w:rsid w:val="0BBE342A"/>
    <w:rsid w:val="0C056BAF"/>
    <w:rsid w:val="0E5928AD"/>
    <w:rsid w:val="0EC71F0D"/>
    <w:rsid w:val="0FD04DF1"/>
    <w:rsid w:val="156D4E90"/>
    <w:rsid w:val="16361726"/>
    <w:rsid w:val="177A1543"/>
    <w:rsid w:val="1B6706BA"/>
    <w:rsid w:val="1ED34681"/>
    <w:rsid w:val="20CB6078"/>
    <w:rsid w:val="20CF6D02"/>
    <w:rsid w:val="22B51B41"/>
    <w:rsid w:val="25777D91"/>
    <w:rsid w:val="25812507"/>
    <w:rsid w:val="28414686"/>
    <w:rsid w:val="2B3E171E"/>
    <w:rsid w:val="2C8B4122"/>
    <w:rsid w:val="2CAC519A"/>
    <w:rsid w:val="2F0E15D0"/>
    <w:rsid w:val="320E0AB5"/>
    <w:rsid w:val="323112C7"/>
    <w:rsid w:val="346F0409"/>
    <w:rsid w:val="34B63D06"/>
    <w:rsid w:val="38D34E86"/>
    <w:rsid w:val="38FD7913"/>
    <w:rsid w:val="3C2D4BF2"/>
    <w:rsid w:val="3D944C5D"/>
    <w:rsid w:val="470930BE"/>
    <w:rsid w:val="47971775"/>
    <w:rsid w:val="495913D8"/>
    <w:rsid w:val="4961203A"/>
    <w:rsid w:val="51581F75"/>
    <w:rsid w:val="52D66AD5"/>
    <w:rsid w:val="557C0541"/>
    <w:rsid w:val="56E31C30"/>
    <w:rsid w:val="56F30DAB"/>
    <w:rsid w:val="586438F5"/>
    <w:rsid w:val="59DA023B"/>
    <w:rsid w:val="5B9E71EA"/>
    <w:rsid w:val="5BE54D4D"/>
    <w:rsid w:val="5FCC0062"/>
    <w:rsid w:val="617E678F"/>
    <w:rsid w:val="61F555BE"/>
    <w:rsid w:val="64441D07"/>
    <w:rsid w:val="654C1999"/>
    <w:rsid w:val="657F43A4"/>
    <w:rsid w:val="668726D0"/>
    <w:rsid w:val="68ED3493"/>
    <w:rsid w:val="69245F3A"/>
    <w:rsid w:val="6B335BA4"/>
    <w:rsid w:val="6CDC7AA6"/>
    <w:rsid w:val="718129CA"/>
    <w:rsid w:val="74A70197"/>
    <w:rsid w:val="75AB4D14"/>
    <w:rsid w:val="797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</Company>
  <Pages>3</Pages>
  <Words>1232</Words>
  <Characters>1375</Characters>
  <Paragraphs>147</Paragraphs>
  <TotalTime>3</TotalTime>
  <ScaleCrop>false</ScaleCrop>
  <LinksUpToDate>false</LinksUpToDate>
  <CharactersWithSpaces>1454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2023-03-03T09:05:00Z</dcterms:created>
  <dc:creator>演示人</dc:creator>
  <cp:lastModifiedBy>霍嚯嚯</cp:lastModifiedBy>
  <cp:lastPrinted>2026-07-08T07:42:37Z</cp:lastPrinted>
  <dcterms:modified xsi:type="dcterms:W3CDTF">2026-07-08T07:46:14Z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0D3441B8D3E74BE3816DC32CF37DD168_13</vt:lpwstr>
  </property>
  <property fmtid="{D5CDD505-2E9C-101B-9397-08002B2CF9AE}" pid="4" name="KSOTemplateDocerSaveRecord">
    <vt:lpwstr>eyJoZGlkIjoiZWY2YTJmNGU0OTUxNWMzZmVhY2MwOWJjNjViOGJmNDgiLCJ1c2VySWQiOiI1MDEwNzk4NzQifQ==</vt:lpwstr>
  </property>
</Properties>
</file>