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-286385</wp:posOffset>
                </wp:positionH>
                <wp:positionV relativeFrom="margin">
                  <wp:posOffset>-513715</wp:posOffset>
                </wp:positionV>
                <wp:extent cx="855980" cy="480695"/>
                <wp:effectExtent l="0" t="0" r="0" b="0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980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22860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55pt;margin-top:-40.45pt;height:37.85pt;width:67.4pt;mso-position-horizontal-relative:margin;mso-position-vertical-relative:margin;mso-wrap-distance-bottom:0pt;mso-wrap-distance-left:9pt;mso-wrap-distance-right:9pt;mso-wrap-distance-top:0pt;z-index:251660288;mso-width-relative:page;mso-height-relative:page;" filled="f" stroked="f" coordsize="21600,21600" o:allowincell="f" o:gfxdata="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xqK4bZAAAACQEAAA8AAAAAAAAAAQAgAAAA&#10;IgAAAGRycy9kb3ducmV2LnhtbFBLAQIUABQAAAAIAIdO4kCCFFEEmAEAABsDAAAOAAAAAAAAAAEA&#10;IAAAACgBAABkcnMvZTJvRG9jLnhtbFBLBQYAAAAABgAGAFkBAAAyBQAAAAA=&#10;">
                <v:path/>
                <v:fill on="f" focussize="0,0"/>
                <v:stroke on="f"/>
                <v:imagedata o:title=""/>
                <o:lock v:ext="edit"/>
                <v:textbox inset="0mm,0mm,6.35mm,0mm">
                  <w:txbxContent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 w:ascii="黑体" w:hAnsi="黑体" w:eastAsia="黑体"/>
          <w:b/>
          <w:sz w:val="44"/>
          <w:szCs w:val="44"/>
        </w:rPr>
        <w:t>派遣用工情况统计表</w:t>
      </w:r>
    </w:p>
    <w:p>
      <w:pPr>
        <w:spacing w:line="540" w:lineRule="exact"/>
        <w:jc w:val="center"/>
        <w:rPr>
          <w:rFonts w:hint="eastAsia" w:ascii="仿宋" w:hAnsi="仿宋" w:eastAsia="仿宋"/>
          <w:b/>
          <w:sz w:val="44"/>
          <w:szCs w:val="44"/>
        </w:rPr>
      </w:pPr>
    </w:p>
    <w:tbl>
      <w:tblPr>
        <w:tblStyle w:val="2"/>
        <w:tblW w:w="1068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3724"/>
        <w:gridCol w:w="2793"/>
        <w:gridCol w:w="187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exact"/>
          <w:jc w:val="center"/>
        </w:trPr>
        <w:tc>
          <w:tcPr>
            <w:tcW w:w="2291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公司主要服务的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用工单位所属行业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分布（打√多选）</w:t>
            </w:r>
          </w:p>
        </w:tc>
        <w:tc>
          <w:tcPr>
            <w:tcW w:w="8389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 采矿业                        □ 制造业  </w:t>
            </w:r>
          </w:p>
          <w:p>
            <w:pPr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 电力、燃气及水生产和供应业    □ 建筑业    </w:t>
            </w:r>
          </w:p>
          <w:p>
            <w:pPr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批发和零售业                  □ 交通运输、仓储和邮政业</w:t>
            </w:r>
          </w:p>
          <w:p>
            <w:pPr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住宿和餐饮业                  □ 信息传输、软件和信息技术服务业</w:t>
            </w:r>
          </w:p>
          <w:p>
            <w:pPr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 金融业                        □ 房地产业  </w:t>
            </w:r>
          </w:p>
          <w:p>
            <w:pPr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租赁和商务服务业              □ 科学研究和技术服务业</w:t>
            </w:r>
          </w:p>
          <w:p>
            <w:pPr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水利、环境和公共设施管理业    □ 居民服务、修理和其他服务业</w:t>
            </w:r>
          </w:p>
          <w:p>
            <w:pPr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教育业                        □ 卫生和社会工作</w:t>
            </w:r>
          </w:p>
          <w:p>
            <w:pPr>
              <w:snapToGrid w:val="0"/>
              <w:spacing w:line="4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□ 文化、体育和娱乐业            □ 公共管理、社会保障和社会组织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2291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公司签约的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用工单位总数</w:t>
            </w:r>
          </w:p>
        </w:tc>
        <w:tc>
          <w:tcPr>
            <w:tcW w:w="3724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ind w:firstLine="966" w:firstLineChars="345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_______家</w:t>
            </w:r>
          </w:p>
        </w:tc>
        <w:tc>
          <w:tcPr>
            <w:tcW w:w="2793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本地用工单位</w:t>
            </w:r>
          </w:p>
        </w:tc>
        <w:tc>
          <w:tcPr>
            <w:tcW w:w="1872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28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_______家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229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72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793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异地用工单位</w:t>
            </w:r>
          </w:p>
        </w:tc>
        <w:tc>
          <w:tcPr>
            <w:tcW w:w="1872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28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_______家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229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公司自用员工总人数</w:t>
            </w:r>
          </w:p>
        </w:tc>
        <w:tc>
          <w:tcPr>
            <w:tcW w:w="37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840" w:firstLineChars="3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________人</w:t>
            </w:r>
          </w:p>
        </w:tc>
        <w:tc>
          <w:tcPr>
            <w:tcW w:w="46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管理人员人数</w:t>
            </w:r>
          </w:p>
          <w:p>
            <w:pPr>
              <w:ind w:right="28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——－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2291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派遣员工总数</w:t>
            </w:r>
          </w:p>
        </w:tc>
        <w:tc>
          <w:tcPr>
            <w:tcW w:w="3724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71" w:firstLineChars="347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_______人</w:t>
            </w:r>
          </w:p>
        </w:tc>
        <w:tc>
          <w:tcPr>
            <w:tcW w:w="27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本地派遣人数</w:t>
            </w:r>
          </w:p>
        </w:tc>
        <w:tc>
          <w:tcPr>
            <w:tcW w:w="1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28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_______人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29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72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7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异地派遣人数</w:t>
            </w:r>
          </w:p>
        </w:tc>
        <w:tc>
          <w:tcPr>
            <w:tcW w:w="1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right="28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_______人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2291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用工单位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性质分布</w:t>
            </w:r>
          </w:p>
        </w:tc>
        <w:tc>
          <w:tcPr>
            <w:tcW w:w="37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性质</w:t>
            </w:r>
          </w:p>
        </w:tc>
        <w:tc>
          <w:tcPr>
            <w:tcW w:w="27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用工单位总数</w:t>
            </w:r>
          </w:p>
        </w:tc>
        <w:tc>
          <w:tcPr>
            <w:tcW w:w="1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派遣人数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229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7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①  国家机关(行政机关、人大、政协、法院、检察院、军事机关)</w:t>
            </w:r>
          </w:p>
        </w:tc>
        <w:tc>
          <w:tcPr>
            <w:tcW w:w="27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</w:t>
            </w:r>
          </w:p>
        </w:tc>
        <w:tc>
          <w:tcPr>
            <w:tcW w:w="1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229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7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②  事业单位</w:t>
            </w:r>
          </w:p>
        </w:tc>
        <w:tc>
          <w:tcPr>
            <w:tcW w:w="27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</w:t>
            </w:r>
          </w:p>
        </w:tc>
        <w:tc>
          <w:tcPr>
            <w:tcW w:w="1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229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7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③  社会组织（包括党委机关）</w:t>
            </w:r>
          </w:p>
        </w:tc>
        <w:tc>
          <w:tcPr>
            <w:tcW w:w="27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</w:t>
            </w:r>
          </w:p>
        </w:tc>
        <w:tc>
          <w:tcPr>
            <w:tcW w:w="1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229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7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④  国有及国有控股</w:t>
            </w:r>
          </w:p>
        </w:tc>
        <w:tc>
          <w:tcPr>
            <w:tcW w:w="27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</w:t>
            </w:r>
          </w:p>
        </w:tc>
        <w:tc>
          <w:tcPr>
            <w:tcW w:w="1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229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7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⑤  私营企业</w:t>
            </w:r>
          </w:p>
        </w:tc>
        <w:tc>
          <w:tcPr>
            <w:tcW w:w="27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</w:t>
            </w:r>
          </w:p>
        </w:tc>
        <w:tc>
          <w:tcPr>
            <w:tcW w:w="1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229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7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⑥  外商投资企业（含港澳台）</w:t>
            </w:r>
          </w:p>
        </w:tc>
        <w:tc>
          <w:tcPr>
            <w:tcW w:w="27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</w:t>
            </w:r>
          </w:p>
        </w:tc>
        <w:tc>
          <w:tcPr>
            <w:tcW w:w="18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2291" w:type="dxa"/>
            <w:vMerge w:val="continue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724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合计</w:t>
            </w:r>
          </w:p>
        </w:tc>
        <w:tc>
          <w:tcPr>
            <w:tcW w:w="2793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ordWrap w:val="0"/>
              <w:spacing w:line="300" w:lineRule="exact"/>
              <w:ind w:right="360"/>
              <w:jc w:val="righ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sz w:val="24"/>
              </w:rPr>
              <w:t>家</w:t>
            </w:r>
          </w:p>
        </w:tc>
        <w:tc>
          <w:tcPr>
            <w:tcW w:w="1872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right="240"/>
              <w:jc w:val="righ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sz w:val="24"/>
              </w:rPr>
              <w:t>人</w:t>
            </w:r>
          </w:p>
        </w:tc>
      </w:tr>
    </w:tbl>
    <w:p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margin">
                  <wp:posOffset>-652780</wp:posOffset>
                </wp:positionH>
                <wp:positionV relativeFrom="margin">
                  <wp:posOffset>8219440</wp:posOffset>
                </wp:positionV>
                <wp:extent cx="6922770" cy="816610"/>
                <wp:effectExtent l="0" t="0" r="0" b="0"/>
                <wp:wrapSquare wrapText="bothSides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77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hint="eastAsia" w:ascii="黑体" w:eastAsia="黑体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pacing w:val="-6"/>
                                <w:szCs w:val="21"/>
                              </w:rPr>
                              <w:t>注：  1、填写公司派遣员工总人数时，应剔除公司下属子公司、分公司的派遣员工人数</w:t>
                            </w:r>
                          </w:p>
                          <w:p>
                            <w:pPr>
                              <w:spacing w:line="300" w:lineRule="exact"/>
                              <w:ind w:firstLine="630" w:firstLineChars="300"/>
                              <w:rPr>
                                <w:rFonts w:hint="eastAsia"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2、合计的用工单位总数与公司服务的用工单位总数相等</w:t>
                            </w:r>
                          </w:p>
                          <w:p>
                            <w:pPr>
                              <w:spacing w:line="300" w:lineRule="exact"/>
                              <w:ind w:firstLine="630" w:firstLineChars="300"/>
                              <w:rPr>
                                <w:rFonts w:hint="eastAsia"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Cs w:val="21"/>
                              </w:rPr>
                              <w:t>3、合计的派遣员工总人数与公司派遣员工总人数相等，派遣人数=本地+异地</w:t>
                            </w:r>
                          </w:p>
                          <w:p>
                            <w:pPr>
                              <w:pBdr>
                                <w:left w:val="single" w:color="7BA0CD" w:sz="12" w:space="10"/>
                              </w:pBdr>
                              <w:rPr>
                                <w:b/>
                                <w:iCs/>
                                <w:color w:val="4F81B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22860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1.4pt;margin-top:647.2pt;height:64.3pt;width:545.1pt;mso-position-horizontal-relative:margin;mso-position-vertical-relative:margin;mso-wrap-distance-bottom:0pt;mso-wrap-distance-left:9pt;mso-wrap-distance-right:9pt;mso-wrap-distance-top:0pt;z-index:251664384;mso-width-relative:page;mso-height-relative:page;" filled="f" stroked="f" coordsize="21600,21600" o:allowincell="f" o:gfxdata="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BH7nU7dAAAADgEAAA8AAAAAAAAA&#10;AQAgAAAAIgAAAGRycy9kb3ducmV2LnhtbFBLAQIUABQAAAAIAIdO4kB2VM2LmgEAABwDAAAOAAAA&#10;AAAAAAEAIAAAACwBAABkcnMvZTJvRG9jLnhtbFBLBQYAAAAABgAGAFkBAAA4BQAAAAA=&#10;">
                <v:path/>
                <v:fill on="f" focussize="0,0"/>
                <v:stroke on="f"/>
                <v:imagedata o:title=""/>
                <o:lock v:ext="edit"/>
                <v:textbox inset="0mm,0mm,6.35mm,0mm">
                  <w:txbxContent>
                    <w:p>
                      <w:pPr>
                        <w:spacing w:line="300" w:lineRule="exact"/>
                        <w:rPr>
                          <w:rFonts w:hint="eastAsia" w:ascii="黑体" w:eastAsia="黑体"/>
                          <w:spacing w:val="-6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pacing w:val="-6"/>
                          <w:szCs w:val="21"/>
                        </w:rPr>
                        <w:t>注：  1、填写公司派遣员工总人数时，应剔除公司下属子公司、分公司的派遣员工人数</w:t>
                      </w:r>
                    </w:p>
                    <w:p>
                      <w:pPr>
                        <w:spacing w:line="300" w:lineRule="exact"/>
                        <w:ind w:firstLine="630" w:firstLineChars="300"/>
                        <w:rPr>
                          <w:rFonts w:hint="eastAsia" w:ascii="黑体" w:eastAsia="黑体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2、合计的用工单位总数与公司服务的用工单位总数相等</w:t>
                      </w:r>
                    </w:p>
                    <w:p>
                      <w:pPr>
                        <w:spacing w:line="300" w:lineRule="exact"/>
                        <w:ind w:firstLine="630" w:firstLineChars="300"/>
                        <w:rPr>
                          <w:rFonts w:hint="eastAsia" w:ascii="黑体" w:eastAsia="黑体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Cs w:val="21"/>
                        </w:rPr>
                        <w:t>3、合计的派遣员工总人数与公司派遣员工总人数相等，派遣人数=本地+异地</w:t>
                      </w:r>
                    </w:p>
                    <w:p>
                      <w:pPr>
                        <w:pBdr>
                          <w:left w:val="single" w:color="7BA0CD" w:sz="12" w:space="10"/>
                        </w:pBdr>
                        <w:rPr>
                          <w:b/>
                          <w:iCs/>
                          <w:color w:val="4F81B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12DDF"/>
    <w:rsid w:val="5C91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2020-01-16T03:18:00Z</dcterms:created>
  <dc:creator>海波</dc:creator>
  <cp:lastModifiedBy>海波</cp:lastModifiedBy>
  <dcterms:modified xsi:type="dcterms:W3CDTF">2020-01-16T03:19:25Z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