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9FC61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14:paraId="7E14A77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赤峰市实施就业优先战略“十五五”规划</w:t>
      </w:r>
    </w:p>
    <w:p w14:paraId="4420DB8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val="en-US" w:eastAsia="zh-CN"/>
        </w:rPr>
        <w:t>（征求意见稿）</w:t>
      </w:r>
    </w:p>
    <w:p w14:paraId="397655B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楷体_GB2312" w:hAnsi="楷体_GB2312" w:eastAsia="楷体_GB2312" w:cs="楷体_GB2312"/>
          <w:sz w:val="32"/>
          <w:szCs w:val="32"/>
          <w:lang w:val="en-US" w:eastAsia="zh-CN"/>
        </w:rPr>
      </w:pPr>
    </w:p>
    <w:p w14:paraId="1EE9A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highlight w:val="yellow"/>
          <w:lang w:val="en-US" w:eastAsia="zh-CN"/>
        </w:rPr>
      </w:pPr>
      <w:r>
        <w:rPr>
          <w:rFonts w:hint="eastAsia" w:ascii="仿宋_GB2312" w:hAnsi="仿宋_GB2312" w:eastAsia="仿宋_GB2312" w:cs="仿宋_GB2312"/>
          <w:sz w:val="32"/>
          <w:szCs w:val="32"/>
          <w:lang w:val="en-US" w:eastAsia="zh-CN"/>
        </w:rPr>
        <w:t>为深入实施就业优先战略，促进高质量充分就业，依据《国务院关于印发&lt;实施就业优先战略“十五五”规划&gt;的通知》</w:t>
      </w:r>
      <w:r>
        <w:rPr>
          <w:rFonts w:hint="eastAsia" w:ascii="仿宋_GB2312" w:hAnsi="仿宋_GB2312" w:eastAsia="仿宋_GB2312" w:cs="仿宋_GB2312"/>
          <w:sz w:val="32"/>
          <w:szCs w:val="32"/>
          <w:highlight w:val="none"/>
          <w:lang w:val="en-US" w:eastAsia="zh-CN"/>
        </w:rPr>
        <w:t>、</w:t>
      </w:r>
      <w:r>
        <w:rPr>
          <w:rFonts w:hint="eastAsia" w:ascii="仿宋_GB2312" w:hAnsi="仿宋_GB2312" w:eastAsia="仿宋_GB2312" w:cs="仿宋_GB2312"/>
          <w:kern w:val="2"/>
          <w:sz w:val="32"/>
          <w:szCs w:val="32"/>
        </w:rPr>
        <w:t>《内蒙古自治区人民政府关于印发&lt;内蒙古自治区“十五五”就业促进规划&gt;的通知》</w:t>
      </w:r>
      <w:r>
        <w:rPr>
          <w:rFonts w:hint="eastAsia" w:ascii="仿宋_GB2312" w:hAnsi="仿宋_GB2312" w:eastAsia="仿宋_GB2312" w:cs="仿宋_GB2312"/>
          <w:sz w:val="32"/>
          <w:szCs w:val="32"/>
          <w:highlight w:val="none"/>
          <w:lang w:val="en-US" w:eastAsia="zh-CN"/>
        </w:rPr>
        <w:t>和《赤峰市人民政府关于印发&lt;赤峰市国民经济和社会发展第十五个五年规划纲要&gt;的通知》等制定本规划。</w:t>
      </w:r>
      <w:bookmarkStart w:id="0" w:name="_GoBack"/>
      <w:bookmarkEnd w:id="0"/>
    </w:p>
    <w:p w14:paraId="486EDA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一、发展环境</w:t>
      </w:r>
    </w:p>
    <w:p w14:paraId="15ED247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（一）发展基础。</w:t>
      </w:r>
      <w:r>
        <w:rPr>
          <w:rFonts w:hint="eastAsia" w:ascii="仿宋_GB2312" w:hAnsi="仿宋_GB2312" w:eastAsia="仿宋_GB2312" w:cs="仿宋_GB2312"/>
          <w:sz w:val="32"/>
          <w:szCs w:val="32"/>
          <w:lang w:val="en-US" w:eastAsia="zh-CN"/>
        </w:rPr>
        <w:t>“十四五”时期是我国全面建成小康社会、实现第一个百年奋斗目标之后，乘势而上开启全面建设社会主义现代化国家新征程、向第二个百年奋斗目标进军的第一个五年。赤峰市委、市政府深入贯彻国家和自治区关于就业工作的决策和部署，坚持以人民为中心的发展理念，把高质量充分就业作为经济社会发展优先目标，全面贯彻落实就业优先战略，不断完善就业服务体系，推动就业工作取得积极进展</w:t>
      </w:r>
      <w:r>
        <w:rPr>
          <w:rFonts w:hint="eastAsia" w:ascii="仿宋_GB2312" w:hAnsi="仿宋_GB2312" w:eastAsia="仿宋_GB2312" w:cs="仿宋_GB2312"/>
          <w:color w:val="auto"/>
          <w:sz w:val="32"/>
          <w:szCs w:val="32"/>
          <w:highlight w:val="none"/>
          <w:lang w:val="en-US" w:eastAsia="zh-CN"/>
        </w:rPr>
        <w:t>。全市城镇新增就业9.6万人，农牧民转移就业345万人次，</w:t>
      </w:r>
      <w:r>
        <w:rPr>
          <w:rFonts w:hint="eastAsia" w:ascii="仿宋_GB2312" w:hAnsi="仿宋_GB2312" w:eastAsia="仿宋_GB2312" w:cs="仿宋_GB2312"/>
          <w:sz w:val="32"/>
          <w:szCs w:val="32"/>
          <w:lang w:val="en-US" w:eastAsia="zh-CN"/>
        </w:rPr>
        <w:t>技能型劳动者由6.6万人增加至8.6万人。高校毕业生、就业困难人员、农牧民工等群体就业稳步向好，全市就业形势总体保持稳定，为“十五五”时期经济社会发展奠定了基础。</w:t>
      </w:r>
    </w:p>
    <w:p w14:paraId="24FAB581">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sz w:val="32"/>
          <w:szCs w:val="32"/>
          <w:lang w:val="en-US" w:eastAsia="zh-CN"/>
        </w:rPr>
      </w:pPr>
    </w:p>
    <w:tbl>
      <w:tblPr>
        <w:tblStyle w:val="7"/>
        <w:tblW w:w="901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667"/>
        <w:gridCol w:w="3666"/>
        <w:gridCol w:w="1276"/>
        <w:gridCol w:w="1705"/>
        <w:gridCol w:w="1690"/>
        <w:gridCol w:w="7"/>
      </w:tblGrid>
      <w:tr w14:paraId="22AF1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gridAfter w:val="1"/>
          <w:wAfter w:w="7" w:type="dxa"/>
          <w:trHeight w:val="567" w:hRule="atLeast"/>
          <w:jc w:val="center"/>
        </w:trPr>
        <w:tc>
          <w:tcPr>
            <w:tcW w:w="9004" w:type="dxa"/>
            <w:gridSpan w:val="5"/>
            <w:shd w:val="clear" w:color="auto" w:fill="auto"/>
            <w:noWrap w:val="0"/>
            <w:vAlign w:val="center"/>
          </w:tcPr>
          <w:p w14:paraId="16F8425F">
            <w:pPr>
              <w:spacing w:line="560" w:lineRule="exact"/>
              <w:contextualSpacing/>
              <w:jc w:val="center"/>
              <w:rPr>
                <w:rFonts w:ascii="黑体" w:hAnsi="黑体" w:eastAsia="黑体"/>
                <w:sz w:val="32"/>
                <w:szCs w:val="32"/>
              </w:rPr>
            </w:pPr>
            <w:r>
              <w:rPr>
                <w:bCs/>
                <w:sz w:val="32"/>
                <w:szCs w:val="32"/>
                <w:lang w:bidi="ar"/>
              </w:rPr>
              <w:br w:type="page"/>
            </w:r>
            <w:r>
              <w:rPr>
                <w:rFonts w:hint="eastAsia" w:ascii="仿宋_GB2312" w:hAnsi="仿宋_GB2312" w:eastAsia="仿宋_GB2312" w:cs="仿宋_GB2312"/>
                <w:sz w:val="32"/>
                <w:szCs w:val="32"/>
                <w:lang w:bidi="ar"/>
              </w:rPr>
              <w:br w:type="page"/>
            </w:r>
            <w:r>
              <w:rPr>
                <w:rFonts w:hint="eastAsia" w:ascii="黑体" w:hAnsi="黑体" w:eastAsia="黑体"/>
                <w:sz w:val="32"/>
                <w:szCs w:val="32"/>
              </w:rPr>
              <w:t xml:space="preserve">专栏1 </w:t>
            </w:r>
            <w:r>
              <w:rPr>
                <w:rFonts w:ascii="黑体" w:hAnsi="黑体" w:eastAsia="黑体"/>
                <w:sz w:val="32"/>
                <w:szCs w:val="32"/>
              </w:rPr>
              <w:t>“</w:t>
            </w:r>
            <w:r>
              <w:rPr>
                <w:rFonts w:hint="eastAsia" w:ascii="黑体" w:hAnsi="黑体" w:eastAsia="黑体"/>
                <w:sz w:val="32"/>
                <w:szCs w:val="32"/>
              </w:rPr>
              <w:t>十四五</w:t>
            </w:r>
            <w:r>
              <w:rPr>
                <w:rFonts w:ascii="黑体" w:hAnsi="黑体" w:eastAsia="黑体"/>
                <w:sz w:val="32"/>
                <w:szCs w:val="32"/>
              </w:rPr>
              <w:t>”</w:t>
            </w:r>
            <w:r>
              <w:rPr>
                <w:rFonts w:hint="eastAsia" w:ascii="黑体" w:hAnsi="黑体" w:eastAsia="黑体"/>
                <w:sz w:val="32"/>
                <w:szCs w:val="32"/>
              </w:rPr>
              <w:t>时期</w:t>
            </w:r>
            <w:r>
              <w:rPr>
                <w:rFonts w:hint="eastAsia" w:ascii="黑体" w:hAnsi="黑体" w:eastAsia="黑体"/>
                <w:sz w:val="32"/>
                <w:szCs w:val="32"/>
                <w:lang w:eastAsia="zh-CN"/>
              </w:rPr>
              <w:t>就业</w:t>
            </w:r>
            <w:r>
              <w:rPr>
                <w:rFonts w:hint="eastAsia" w:ascii="黑体" w:hAnsi="黑体" w:eastAsia="黑体"/>
                <w:sz w:val="32"/>
                <w:szCs w:val="32"/>
              </w:rPr>
              <w:t>主要指标</w:t>
            </w:r>
          </w:p>
        </w:tc>
      </w:tr>
      <w:tr w14:paraId="7CA3A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667" w:type="dxa"/>
            <w:noWrap w:val="0"/>
            <w:vAlign w:val="center"/>
          </w:tcPr>
          <w:p w14:paraId="71AE7BC0">
            <w:pPr>
              <w:spacing w:line="560" w:lineRule="exact"/>
              <w:contextualSpacing/>
              <w:jc w:val="center"/>
              <w:rPr>
                <w:rFonts w:hint="eastAsia" w:ascii="仿宋_GB2312" w:hAnsi="黑体" w:eastAsia="仿宋_GB2312"/>
                <w:b/>
                <w:sz w:val="28"/>
                <w:szCs w:val="28"/>
              </w:rPr>
            </w:pPr>
            <w:r>
              <w:rPr>
                <w:rFonts w:hint="eastAsia" w:ascii="仿宋_GB2312" w:hAnsi="黑体" w:eastAsia="仿宋_GB2312"/>
                <w:b/>
                <w:sz w:val="28"/>
                <w:szCs w:val="28"/>
              </w:rPr>
              <w:t>序号</w:t>
            </w:r>
          </w:p>
        </w:tc>
        <w:tc>
          <w:tcPr>
            <w:tcW w:w="3666" w:type="dxa"/>
            <w:noWrap w:val="0"/>
            <w:vAlign w:val="center"/>
          </w:tcPr>
          <w:p w14:paraId="3A41258C">
            <w:pPr>
              <w:spacing w:line="560" w:lineRule="exact"/>
              <w:contextualSpacing/>
              <w:jc w:val="center"/>
              <w:rPr>
                <w:rFonts w:hint="eastAsia" w:ascii="仿宋_GB2312" w:hAnsi="黑体" w:eastAsia="仿宋_GB2312"/>
                <w:b/>
                <w:sz w:val="28"/>
                <w:szCs w:val="28"/>
              </w:rPr>
            </w:pPr>
            <w:r>
              <w:rPr>
                <w:rFonts w:hint="eastAsia" w:ascii="仿宋_GB2312" w:hAnsi="黑体" w:eastAsia="仿宋_GB2312"/>
                <w:b/>
                <w:sz w:val="28"/>
                <w:szCs w:val="28"/>
              </w:rPr>
              <w:t>指标</w:t>
            </w:r>
          </w:p>
        </w:tc>
        <w:tc>
          <w:tcPr>
            <w:tcW w:w="1276" w:type="dxa"/>
            <w:noWrap w:val="0"/>
            <w:vAlign w:val="center"/>
          </w:tcPr>
          <w:p w14:paraId="69178D37">
            <w:pPr>
              <w:spacing w:line="560" w:lineRule="exact"/>
              <w:contextualSpacing/>
              <w:jc w:val="center"/>
              <w:rPr>
                <w:rFonts w:hint="eastAsia" w:ascii="仿宋_GB2312" w:hAnsi="黑体" w:eastAsia="仿宋_GB2312"/>
                <w:b/>
                <w:sz w:val="28"/>
                <w:szCs w:val="28"/>
              </w:rPr>
            </w:pPr>
            <w:r>
              <w:rPr>
                <w:rFonts w:hint="eastAsia" w:ascii="仿宋_GB2312" w:hAnsi="黑体" w:eastAsia="仿宋_GB2312"/>
                <w:b/>
                <w:sz w:val="28"/>
                <w:szCs w:val="28"/>
              </w:rPr>
              <w:t>单位</w:t>
            </w:r>
          </w:p>
        </w:tc>
        <w:tc>
          <w:tcPr>
            <w:tcW w:w="1705" w:type="dxa"/>
            <w:noWrap w:val="0"/>
            <w:vAlign w:val="center"/>
          </w:tcPr>
          <w:p w14:paraId="7D7CF4FC">
            <w:pPr>
              <w:spacing w:line="400" w:lineRule="exact"/>
              <w:contextualSpacing/>
              <w:jc w:val="center"/>
              <w:rPr>
                <w:rFonts w:hint="eastAsia" w:ascii="仿宋_GB2312" w:hAnsi="黑体" w:eastAsia="仿宋_GB2312"/>
                <w:b/>
                <w:sz w:val="28"/>
                <w:szCs w:val="28"/>
              </w:rPr>
            </w:pPr>
            <w:r>
              <w:rPr>
                <w:rFonts w:hint="eastAsia" w:ascii="仿宋_GB2312" w:hAnsi="黑体" w:eastAsia="仿宋_GB2312"/>
                <w:b/>
                <w:sz w:val="28"/>
                <w:szCs w:val="28"/>
              </w:rPr>
              <w:t>2025年</w:t>
            </w:r>
          </w:p>
          <w:p w14:paraId="06A017C4">
            <w:pPr>
              <w:spacing w:line="400" w:lineRule="exact"/>
              <w:contextualSpacing/>
              <w:jc w:val="center"/>
              <w:rPr>
                <w:rFonts w:ascii="仿宋_GB2312" w:hAnsi="黑体" w:eastAsia="仿宋_GB2312"/>
                <w:b/>
                <w:sz w:val="28"/>
                <w:szCs w:val="28"/>
              </w:rPr>
            </w:pPr>
            <w:r>
              <w:rPr>
                <w:rFonts w:hint="eastAsia" w:ascii="仿宋_GB2312" w:hAnsi="黑体" w:eastAsia="仿宋_GB2312"/>
                <w:b/>
                <w:sz w:val="28"/>
                <w:szCs w:val="28"/>
              </w:rPr>
              <w:t>完成值</w:t>
            </w:r>
          </w:p>
        </w:tc>
        <w:tc>
          <w:tcPr>
            <w:tcW w:w="1697" w:type="dxa"/>
            <w:gridSpan w:val="2"/>
            <w:noWrap w:val="0"/>
            <w:vAlign w:val="center"/>
          </w:tcPr>
          <w:p w14:paraId="6EAABB55">
            <w:pPr>
              <w:spacing w:line="400" w:lineRule="exact"/>
              <w:contextualSpacing/>
              <w:jc w:val="center"/>
              <w:rPr>
                <w:rFonts w:hint="eastAsia" w:ascii="仿宋_GB2312" w:hAnsi="黑体" w:eastAsia="仿宋_GB2312"/>
                <w:b/>
                <w:sz w:val="28"/>
                <w:szCs w:val="28"/>
              </w:rPr>
            </w:pPr>
            <w:r>
              <w:rPr>
                <w:rFonts w:hint="eastAsia" w:ascii="仿宋_GB2312" w:hAnsi="黑体" w:eastAsia="仿宋_GB2312"/>
                <w:b/>
                <w:sz w:val="28"/>
                <w:szCs w:val="28"/>
              </w:rPr>
              <w:t>2025年</w:t>
            </w:r>
          </w:p>
          <w:p w14:paraId="1E1241E4">
            <w:pPr>
              <w:spacing w:line="400" w:lineRule="exact"/>
              <w:contextualSpacing/>
              <w:jc w:val="center"/>
              <w:rPr>
                <w:rFonts w:hint="eastAsia" w:ascii="仿宋_GB2312" w:hAnsi="黑体" w:eastAsia="仿宋_GB2312"/>
                <w:b/>
                <w:sz w:val="28"/>
                <w:szCs w:val="28"/>
              </w:rPr>
            </w:pPr>
            <w:r>
              <w:rPr>
                <w:rFonts w:hint="eastAsia" w:ascii="仿宋_GB2312" w:hAnsi="黑体" w:eastAsia="仿宋_GB2312"/>
                <w:b/>
                <w:sz w:val="28"/>
                <w:szCs w:val="28"/>
              </w:rPr>
              <w:t>目标</w:t>
            </w:r>
          </w:p>
        </w:tc>
      </w:tr>
      <w:tr w14:paraId="6594C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667" w:type="dxa"/>
            <w:noWrap w:val="0"/>
            <w:vAlign w:val="center"/>
          </w:tcPr>
          <w:p w14:paraId="4AB4B0F0">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1</w:t>
            </w:r>
          </w:p>
        </w:tc>
        <w:tc>
          <w:tcPr>
            <w:tcW w:w="3666" w:type="dxa"/>
            <w:noWrap w:val="0"/>
            <w:vAlign w:val="center"/>
          </w:tcPr>
          <w:p w14:paraId="1201797E">
            <w:pPr>
              <w:spacing w:line="560" w:lineRule="exact"/>
              <w:contextualSpacing/>
              <w:rPr>
                <w:rFonts w:hint="eastAsia" w:ascii="仿宋_GB2312" w:hAnsi="黑体" w:eastAsia="仿宋_GB2312"/>
                <w:color w:val="000000"/>
                <w:sz w:val="24"/>
              </w:rPr>
            </w:pPr>
            <w:r>
              <w:rPr>
                <w:rFonts w:hint="eastAsia" w:ascii="仿宋_GB2312" w:hAnsi="黑体" w:eastAsia="仿宋_GB2312"/>
                <w:color w:val="000000"/>
                <w:sz w:val="24"/>
              </w:rPr>
              <w:t>城镇新增就业人数</w:t>
            </w:r>
          </w:p>
        </w:tc>
        <w:tc>
          <w:tcPr>
            <w:tcW w:w="1276" w:type="dxa"/>
            <w:noWrap w:val="0"/>
            <w:vAlign w:val="center"/>
          </w:tcPr>
          <w:p w14:paraId="1DF70C90">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万人</w:t>
            </w:r>
          </w:p>
        </w:tc>
        <w:tc>
          <w:tcPr>
            <w:tcW w:w="1705" w:type="dxa"/>
            <w:noWrap w:val="0"/>
            <w:vAlign w:val="center"/>
          </w:tcPr>
          <w:p w14:paraId="17A996F4">
            <w:pPr>
              <w:spacing w:line="560" w:lineRule="exact"/>
              <w:contextualSpacing/>
              <w:jc w:val="center"/>
              <w:rPr>
                <w:rFonts w:hint="eastAsia" w:ascii="仿宋_GB2312" w:hAnsi="仿宋_GB2312" w:eastAsia="仿宋_GB2312" w:cs="仿宋_GB2312"/>
                <w:color w:val="FF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auto"/>
                <w:sz w:val="24"/>
                <w:szCs w:val="24"/>
              </w:rPr>
              <w:t>9.6</w:t>
            </w:r>
            <w:r>
              <w:rPr>
                <w:rFonts w:hint="eastAsia" w:ascii="仿宋_GB2312" w:hAnsi="仿宋_GB2312" w:eastAsia="仿宋_GB2312" w:cs="仿宋_GB2312"/>
                <w:color w:val="auto"/>
                <w:sz w:val="24"/>
                <w:szCs w:val="24"/>
                <w:highlight w:val="none"/>
                <w:vertAlign w:val="baseline"/>
                <w:lang w:val="en-US" w:eastAsia="zh-CN"/>
              </w:rPr>
              <w:t>〕</w:t>
            </w:r>
          </w:p>
        </w:tc>
        <w:tc>
          <w:tcPr>
            <w:tcW w:w="1697" w:type="dxa"/>
            <w:gridSpan w:val="2"/>
            <w:noWrap w:val="0"/>
            <w:vAlign w:val="center"/>
          </w:tcPr>
          <w:p w14:paraId="7D35CC87">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10</w:t>
            </w:r>
            <w:r>
              <w:rPr>
                <w:rFonts w:hint="eastAsia" w:ascii="仿宋_GB2312" w:hAnsi="仿宋_GB2312" w:eastAsia="仿宋_GB2312" w:cs="仿宋_GB2312"/>
                <w:color w:val="auto"/>
                <w:sz w:val="24"/>
                <w:szCs w:val="24"/>
                <w:highlight w:val="none"/>
                <w:vertAlign w:val="baseline"/>
                <w:lang w:val="en-US" w:eastAsia="zh-CN"/>
              </w:rPr>
              <w:t>〕</w:t>
            </w:r>
          </w:p>
        </w:tc>
      </w:tr>
      <w:tr w14:paraId="651B4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667" w:type="dxa"/>
            <w:noWrap w:val="0"/>
            <w:vAlign w:val="center"/>
          </w:tcPr>
          <w:p w14:paraId="2CDECED6">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2</w:t>
            </w:r>
          </w:p>
        </w:tc>
        <w:tc>
          <w:tcPr>
            <w:tcW w:w="3666" w:type="dxa"/>
            <w:noWrap w:val="0"/>
            <w:vAlign w:val="center"/>
          </w:tcPr>
          <w:p w14:paraId="18FCC01A">
            <w:pPr>
              <w:spacing w:line="560" w:lineRule="exact"/>
              <w:contextualSpacing/>
              <w:rPr>
                <w:rFonts w:hint="eastAsia" w:ascii="仿宋_GB2312" w:hAnsi="黑体" w:eastAsia="仿宋_GB2312"/>
                <w:color w:val="000000"/>
                <w:sz w:val="24"/>
              </w:rPr>
            </w:pPr>
            <w:r>
              <w:rPr>
                <w:rFonts w:hint="eastAsia" w:ascii="仿宋_GB2312" w:hAnsi="黑体" w:eastAsia="仿宋_GB2312"/>
                <w:color w:val="000000"/>
                <w:sz w:val="24"/>
              </w:rPr>
              <w:t>高校毕业生就业人数</w:t>
            </w:r>
          </w:p>
        </w:tc>
        <w:tc>
          <w:tcPr>
            <w:tcW w:w="1276" w:type="dxa"/>
            <w:noWrap w:val="0"/>
            <w:vAlign w:val="center"/>
          </w:tcPr>
          <w:p w14:paraId="7355437A">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万人</w:t>
            </w:r>
          </w:p>
        </w:tc>
        <w:tc>
          <w:tcPr>
            <w:tcW w:w="1705" w:type="dxa"/>
            <w:noWrap w:val="0"/>
            <w:vAlign w:val="center"/>
          </w:tcPr>
          <w:p w14:paraId="5C8EE621">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highlight w:val="none"/>
              </w:rPr>
              <w:t>8.06</w:t>
            </w:r>
            <w:r>
              <w:rPr>
                <w:rFonts w:hint="eastAsia" w:ascii="仿宋_GB2312" w:hAnsi="仿宋_GB2312" w:eastAsia="仿宋_GB2312" w:cs="仿宋_GB2312"/>
                <w:color w:val="auto"/>
                <w:sz w:val="24"/>
                <w:szCs w:val="24"/>
                <w:highlight w:val="none"/>
                <w:vertAlign w:val="baseline"/>
                <w:lang w:val="en-US" w:eastAsia="zh-CN"/>
              </w:rPr>
              <w:t>〕</w:t>
            </w:r>
          </w:p>
        </w:tc>
        <w:tc>
          <w:tcPr>
            <w:tcW w:w="1697" w:type="dxa"/>
            <w:gridSpan w:val="2"/>
            <w:noWrap w:val="0"/>
            <w:vAlign w:val="center"/>
          </w:tcPr>
          <w:p w14:paraId="21A85EF5">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5</w:t>
            </w:r>
            <w:r>
              <w:rPr>
                <w:rFonts w:hint="eastAsia" w:ascii="仿宋_GB2312" w:hAnsi="仿宋_GB2312" w:eastAsia="仿宋_GB2312" w:cs="仿宋_GB2312"/>
                <w:color w:val="auto"/>
                <w:sz w:val="24"/>
                <w:szCs w:val="24"/>
                <w:highlight w:val="none"/>
                <w:vertAlign w:val="baseline"/>
                <w:lang w:val="en-US" w:eastAsia="zh-CN"/>
              </w:rPr>
              <w:t>〕</w:t>
            </w:r>
          </w:p>
        </w:tc>
      </w:tr>
      <w:tr w14:paraId="64C4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667" w:type="dxa"/>
            <w:noWrap w:val="0"/>
            <w:vAlign w:val="center"/>
          </w:tcPr>
          <w:p w14:paraId="064CD6E5">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3</w:t>
            </w:r>
          </w:p>
        </w:tc>
        <w:tc>
          <w:tcPr>
            <w:tcW w:w="3666" w:type="dxa"/>
            <w:noWrap w:val="0"/>
            <w:vAlign w:val="center"/>
          </w:tcPr>
          <w:p w14:paraId="493F9827">
            <w:pPr>
              <w:spacing w:line="560" w:lineRule="exact"/>
              <w:contextualSpacing/>
              <w:rPr>
                <w:rFonts w:hint="eastAsia" w:ascii="仿宋_GB2312" w:hAnsi="黑体" w:eastAsia="仿宋_GB2312"/>
                <w:color w:val="000000"/>
                <w:sz w:val="24"/>
              </w:rPr>
            </w:pPr>
            <w:r>
              <w:rPr>
                <w:rFonts w:hint="eastAsia" w:ascii="仿宋_GB2312" w:hAnsi="黑体" w:eastAsia="仿宋_GB2312"/>
                <w:color w:val="000000"/>
                <w:sz w:val="24"/>
              </w:rPr>
              <w:t>城镇失业人员再就业人数</w:t>
            </w:r>
          </w:p>
        </w:tc>
        <w:tc>
          <w:tcPr>
            <w:tcW w:w="1276" w:type="dxa"/>
            <w:noWrap w:val="0"/>
            <w:vAlign w:val="center"/>
          </w:tcPr>
          <w:p w14:paraId="11F95018">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万人</w:t>
            </w:r>
          </w:p>
        </w:tc>
        <w:tc>
          <w:tcPr>
            <w:tcW w:w="1705" w:type="dxa"/>
            <w:noWrap w:val="0"/>
            <w:vAlign w:val="center"/>
          </w:tcPr>
          <w:p w14:paraId="0C20902F">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5.5</w:t>
            </w:r>
            <w:r>
              <w:rPr>
                <w:rFonts w:hint="eastAsia" w:ascii="仿宋_GB2312" w:hAnsi="仿宋_GB2312" w:eastAsia="仿宋_GB2312" w:cs="仿宋_GB2312"/>
                <w:color w:val="auto"/>
                <w:sz w:val="24"/>
                <w:szCs w:val="24"/>
                <w:highlight w:val="none"/>
                <w:vertAlign w:val="baseline"/>
                <w:lang w:val="en-US" w:eastAsia="zh-CN"/>
              </w:rPr>
              <w:t>〕</w:t>
            </w:r>
          </w:p>
        </w:tc>
        <w:tc>
          <w:tcPr>
            <w:tcW w:w="1697" w:type="dxa"/>
            <w:gridSpan w:val="2"/>
            <w:noWrap w:val="0"/>
            <w:vAlign w:val="center"/>
          </w:tcPr>
          <w:p w14:paraId="44354BAF">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5.1</w:t>
            </w:r>
            <w:r>
              <w:rPr>
                <w:rFonts w:hint="eastAsia" w:ascii="仿宋_GB2312" w:hAnsi="仿宋_GB2312" w:eastAsia="仿宋_GB2312" w:cs="仿宋_GB2312"/>
                <w:color w:val="auto"/>
                <w:sz w:val="24"/>
                <w:szCs w:val="24"/>
                <w:highlight w:val="none"/>
                <w:vertAlign w:val="baseline"/>
                <w:lang w:val="en-US" w:eastAsia="zh-CN"/>
              </w:rPr>
              <w:t>〕</w:t>
            </w:r>
          </w:p>
        </w:tc>
      </w:tr>
      <w:tr w14:paraId="1E7C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667" w:type="dxa"/>
            <w:noWrap w:val="0"/>
            <w:vAlign w:val="center"/>
          </w:tcPr>
          <w:p w14:paraId="56114470">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4</w:t>
            </w:r>
          </w:p>
        </w:tc>
        <w:tc>
          <w:tcPr>
            <w:tcW w:w="3666" w:type="dxa"/>
            <w:noWrap w:val="0"/>
            <w:vAlign w:val="center"/>
          </w:tcPr>
          <w:p w14:paraId="1E1A2B03">
            <w:pPr>
              <w:spacing w:line="560" w:lineRule="exact"/>
              <w:contextualSpacing/>
              <w:rPr>
                <w:rFonts w:hint="eastAsia" w:ascii="仿宋_GB2312" w:hAnsi="黑体" w:eastAsia="仿宋_GB2312"/>
                <w:color w:val="000000"/>
                <w:sz w:val="24"/>
              </w:rPr>
            </w:pPr>
            <w:r>
              <w:rPr>
                <w:rFonts w:hint="eastAsia" w:ascii="仿宋_GB2312" w:hAnsi="黑体" w:eastAsia="仿宋_GB2312"/>
                <w:color w:val="000000"/>
                <w:sz w:val="24"/>
              </w:rPr>
              <w:t>就业困难人员就业人数</w:t>
            </w:r>
          </w:p>
        </w:tc>
        <w:tc>
          <w:tcPr>
            <w:tcW w:w="1276" w:type="dxa"/>
            <w:noWrap w:val="0"/>
            <w:vAlign w:val="center"/>
          </w:tcPr>
          <w:p w14:paraId="781FA084">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万人</w:t>
            </w:r>
          </w:p>
        </w:tc>
        <w:tc>
          <w:tcPr>
            <w:tcW w:w="1705" w:type="dxa"/>
            <w:noWrap w:val="0"/>
            <w:vAlign w:val="center"/>
          </w:tcPr>
          <w:p w14:paraId="31AD3640">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5.2</w:t>
            </w:r>
            <w:r>
              <w:rPr>
                <w:rFonts w:hint="eastAsia" w:ascii="仿宋_GB2312" w:hAnsi="仿宋_GB2312" w:eastAsia="仿宋_GB2312" w:cs="仿宋_GB2312"/>
                <w:color w:val="auto"/>
                <w:sz w:val="24"/>
                <w:szCs w:val="24"/>
                <w:highlight w:val="none"/>
                <w:vertAlign w:val="baseline"/>
                <w:lang w:val="en-US" w:eastAsia="zh-CN"/>
              </w:rPr>
              <w:t>〕</w:t>
            </w:r>
          </w:p>
        </w:tc>
        <w:tc>
          <w:tcPr>
            <w:tcW w:w="1697" w:type="dxa"/>
            <w:gridSpan w:val="2"/>
            <w:noWrap w:val="0"/>
            <w:vAlign w:val="center"/>
          </w:tcPr>
          <w:p w14:paraId="0C0DCBF0">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4.9</w:t>
            </w:r>
            <w:r>
              <w:rPr>
                <w:rFonts w:hint="eastAsia" w:ascii="仿宋_GB2312" w:hAnsi="仿宋_GB2312" w:eastAsia="仿宋_GB2312" w:cs="仿宋_GB2312"/>
                <w:color w:val="auto"/>
                <w:sz w:val="24"/>
                <w:szCs w:val="24"/>
                <w:highlight w:val="none"/>
                <w:vertAlign w:val="baseline"/>
                <w:lang w:val="en-US" w:eastAsia="zh-CN"/>
              </w:rPr>
              <w:t>〕</w:t>
            </w:r>
          </w:p>
        </w:tc>
      </w:tr>
      <w:tr w14:paraId="4C6D9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667" w:type="dxa"/>
            <w:noWrap w:val="0"/>
            <w:vAlign w:val="center"/>
          </w:tcPr>
          <w:p w14:paraId="5DEE6552">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5</w:t>
            </w:r>
          </w:p>
        </w:tc>
        <w:tc>
          <w:tcPr>
            <w:tcW w:w="3666" w:type="dxa"/>
            <w:noWrap w:val="0"/>
            <w:vAlign w:val="center"/>
          </w:tcPr>
          <w:p w14:paraId="2C6995C9">
            <w:pPr>
              <w:spacing w:line="560" w:lineRule="exact"/>
              <w:contextualSpacing/>
              <w:rPr>
                <w:rFonts w:hint="eastAsia" w:ascii="仿宋_GB2312" w:hAnsi="黑体" w:eastAsia="仿宋_GB2312"/>
                <w:color w:val="000000"/>
                <w:sz w:val="24"/>
              </w:rPr>
            </w:pPr>
            <w:r>
              <w:rPr>
                <w:rFonts w:hint="eastAsia" w:ascii="仿宋_GB2312" w:hAnsi="黑体" w:eastAsia="仿宋_GB2312"/>
                <w:color w:val="000000"/>
                <w:sz w:val="24"/>
              </w:rPr>
              <w:t>农牧民转移就业人数</w:t>
            </w:r>
          </w:p>
        </w:tc>
        <w:tc>
          <w:tcPr>
            <w:tcW w:w="1276" w:type="dxa"/>
            <w:noWrap w:val="0"/>
            <w:vAlign w:val="center"/>
          </w:tcPr>
          <w:p w14:paraId="4BEAC403">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万人次</w:t>
            </w:r>
          </w:p>
        </w:tc>
        <w:tc>
          <w:tcPr>
            <w:tcW w:w="1705" w:type="dxa"/>
            <w:noWrap w:val="0"/>
            <w:vAlign w:val="center"/>
          </w:tcPr>
          <w:p w14:paraId="42CD2E32">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345</w:t>
            </w:r>
            <w:r>
              <w:rPr>
                <w:rFonts w:hint="eastAsia" w:ascii="仿宋_GB2312" w:hAnsi="仿宋_GB2312" w:eastAsia="仿宋_GB2312" w:cs="仿宋_GB2312"/>
                <w:color w:val="auto"/>
                <w:sz w:val="24"/>
                <w:szCs w:val="24"/>
                <w:highlight w:val="none"/>
                <w:vertAlign w:val="baseline"/>
                <w:lang w:val="en-US" w:eastAsia="zh-CN"/>
              </w:rPr>
              <w:t>〕</w:t>
            </w:r>
          </w:p>
        </w:tc>
        <w:tc>
          <w:tcPr>
            <w:tcW w:w="1697" w:type="dxa"/>
            <w:gridSpan w:val="2"/>
            <w:noWrap w:val="0"/>
            <w:vAlign w:val="center"/>
          </w:tcPr>
          <w:p w14:paraId="570390B6">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300</w:t>
            </w:r>
            <w:r>
              <w:rPr>
                <w:rFonts w:hint="eastAsia" w:ascii="仿宋_GB2312" w:hAnsi="仿宋_GB2312" w:eastAsia="仿宋_GB2312" w:cs="仿宋_GB2312"/>
                <w:color w:val="auto"/>
                <w:sz w:val="24"/>
                <w:szCs w:val="24"/>
                <w:highlight w:val="none"/>
                <w:vertAlign w:val="baseline"/>
                <w:lang w:val="en-US" w:eastAsia="zh-CN"/>
              </w:rPr>
              <w:t>〕</w:t>
            </w:r>
          </w:p>
        </w:tc>
      </w:tr>
      <w:tr w14:paraId="483D67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667" w:type="dxa"/>
            <w:noWrap w:val="0"/>
            <w:vAlign w:val="center"/>
          </w:tcPr>
          <w:p w14:paraId="327903D1">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6</w:t>
            </w:r>
          </w:p>
        </w:tc>
        <w:tc>
          <w:tcPr>
            <w:tcW w:w="3666" w:type="dxa"/>
            <w:noWrap w:val="0"/>
            <w:vAlign w:val="center"/>
          </w:tcPr>
          <w:p w14:paraId="4D1811C4">
            <w:pPr>
              <w:spacing w:line="560" w:lineRule="exact"/>
              <w:contextualSpacing/>
              <w:rPr>
                <w:rFonts w:hint="eastAsia" w:ascii="仿宋_GB2312" w:hAnsi="黑体" w:eastAsia="仿宋_GB2312"/>
                <w:color w:val="000000"/>
                <w:sz w:val="24"/>
              </w:rPr>
            </w:pPr>
            <w:r>
              <w:rPr>
                <w:rFonts w:hint="eastAsia" w:ascii="仿宋_GB2312" w:hAnsi="黑体" w:eastAsia="仿宋_GB2312"/>
                <w:color w:val="000000"/>
                <w:sz w:val="24"/>
              </w:rPr>
              <w:t>开展补贴性职业技能培训人数</w:t>
            </w:r>
          </w:p>
        </w:tc>
        <w:tc>
          <w:tcPr>
            <w:tcW w:w="1276" w:type="dxa"/>
            <w:noWrap w:val="0"/>
            <w:vAlign w:val="center"/>
          </w:tcPr>
          <w:p w14:paraId="696C431A">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rPr>
              <w:t>万人次</w:t>
            </w:r>
          </w:p>
        </w:tc>
        <w:tc>
          <w:tcPr>
            <w:tcW w:w="1705" w:type="dxa"/>
            <w:noWrap w:val="0"/>
            <w:vAlign w:val="center"/>
          </w:tcPr>
          <w:p w14:paraId="65268D67">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12.8</w:t>
            </w:r>
            <w:r>
              <w:rPr>
                <w:rFonts w:hint="eastAsia" w:ascii="仿宋_GB2312" w:hAnsi="仿宋_GB2312" w:eastAsia="仿宋_GB2312" w:cs="仿宋_GB2312"/>
                <w:color w:val="auto"/>
                <w:sz w:val="24"/>
                <w:szCs w:val="24"/>
                <w:highlight w:val="none"/>
                <w:vertAlign w:val="baseline"/>
                <w:lang w:val="en-US" w:eastAsia="zh-CN"/>
              </w:rPr>
              <w:t>〕</w:t>
            </w:r>
          </w:p>
        </w:tc>
        <w:tc>
          <w:tcPr>
            <w:tcW w:w="1697" w:type="dxa"/>
            <w:gridSpan w:val="2"/>
            <w:noWrap w:val="0"/>
            <w:vAlign w:val="center"/>
          </w:tcPr>
          <w:p w14:paraId="0B7D0A09">
            <w:pPr>
              <w:spacing w:line="560" w:lineRule="exact"/>
              <w:contextualSpacing/>
              <w:jc w:val="center"/>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auto"/>
                <w:sz w:val="24"/>
                <w:szCs w:val="24"/>
                <w:highlight w:val="none"/>
                <w:vertAlign w:val="baseline"/>
                <w:lang w:val="en-US" w:eastAsia="zh-CN"/>
              </w:rPr>
              <w:t>〔</w:t>
            </w:r>
            <w:r>
              <w:rPr>
                <w:rFonts w:hint="eastAsia" w:ascii="仿宋_GB2312" w:hAnsi="仿宋_GB2312" w:eastAsia="仿宋_GB2312" w:cs="仿宋_GB2312"/>
                <w:color w:val="000000"/>
                <w:sz w:val="24"/>
                <w:szCs w:val="24"/>
              </w:rPr>
              <w:t>7</w:t>
            </w:r>
            <w:r>
              <w:rPr>
                <w:rFonts w:hint="eastAsia" w:ascii="仿宋_GB2312" w:hAnsi="仿宋_GB2312" w:eastAsia="仿宋_GB2312" w:cs="仿宋_GB2312"/>
                <w:color w:val="auto"/>
                <w:sz w:val="24"/>
                <w:szCs w:val="24"/>
                <w:highlight w:val="none"/>
                <w:vertAlign w:val="baseline"/>
                <w:lang w:val="en-US" w:eastAsia="zh-CN"/>
              </w:rPr>
              <w:t>〕</w:t>
            </w:r>
          </w:p>
        </w:tc>
      </w:tr>
      <w:tr w14:paraId="7A074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exact"/>
          <w:jc w:val="center"/>
        </w:trPr>
        <w:tc>
          <w:tcPr>
            <w:tcW w:w="667" w:type="dxa"/>
            <w:noWrap w:val="0"/>
            <w:vAlign w:val="center"/>
          </w:tcPr>
          <w:p w14:paraId="6501A1EE">
            <w:pPr>
              <w:spacing w:line="560" w:lineRule="exact"/>
              <w:contextualSpacing/>
              <w:jc w:val="center"/>
              <w:rPr>
                <w:rFonts w:hint="eastAsia" w:ascii="仿宋_GB2312" w:hAnsi="黑体" w:eastAsia="仿宋_GB2312"/>
                <w:color w:val="000000"/>
                <w:sz w:val="24"/>
                <w:lang w:val="en-US" w:eastAsia="zh-CN"/>
              </w:rPr>
            </w:pPr>
            <w:r>
              <w:rPr>
                <w:rFonts w:hint="eastAsia" w:ascii="仿宋_GB2312" w:hAnsi="黑体" w:eastAsia="仿宋_GB2312"/>
                <w:color w:val="000000"/>
                <w:sz w:val="24"/>
                <w:lang w:val="en-US" w:eastAsia="zh-CN"/>
              </w:rPr>
              <w:t>7</w:t>
            </w:r>
          </w:p>
        </w:tc>
        <w:tc>
          <w:tcPr>
            <w:tcW w:w="3666" w:type="dxa"/>
            <w:noWrap w:val="0"/>
            <w:vAlign w:val="center"/>
          </w:tcPr>
          <w:p w14:paraId="2E371135">
            <w:pPr>
              <w:spacing w:line="560" w:lineRule="exact"/>
              <w:contextualSpacing/>
              <w:rPr>
                <w:rFonts w:hint="eastAsia" w:ascii="仿宋_GB2312" w:hAnsi="黑体" w:eastAsia="仿宋_GB2312"/>
                <w:color w:val="000000"/>
                <w:sz w:val="24"/>
              </w:rPr>
            </w:pPr>
            <w:r>
              <w:rPr>
                <w:rFonts w:hint="eastAsia" w:ascii="仿宋_GB2312" w:hAnsi="黑体" w:eastAsia="仿宋_GB2312"/>
                <w:color w:val="000000"/>
                <w:sz w:val="24"/>
                <w:lang w:val="en-US" w:eastAsia="zh-CN"/>
              </w:rPr>
              <w:t>高技能人才总量</w:t>
            </w:r>
          </w:p>
        </w:tc>
        <w:tc>
          <w:tcPr>
            <w:tcW w:w="1276" w:type="dxa"/>
            <w:noWrap w:val="0"/>
            <w:vAlign w:val="center"/>
          </w:tcPr>
          <w:p w14:paraId="650E9944">
            <w:pPr>
              <w:spacing w:line="560" w:lineRule="exact"/>
              <w:contextualSpacing/>
              <w:jc w:val="center"/>
              <w:rPr>
                <w:rFonts w:hint="eastAsia" w:ascii="仿宋_GB2312" w:hAnsi="黑体" w:eastAsia="仿宋_GB2312"/>
                <w:color w:val="000000"/>
                <w:sz w:val="24"/>
              </w:rPr>
            </w:pPr>
            <w:r>
              <w:rPr>
                <w:rFonts w:hint="eastAsia" w:ascii="仿宋_GB2312" w:hAnsi="黑体" w:eastAsia="仿宋_GB2312"/>
                <w:color w:val="000000"/>
                <w:sz w:val="24"/>
                <w:lang w:val="en-US" w:eastAsia="zh-CN"/>
              </w:rPr>
              <w:t>万人</w:t>
            </w:r>
          </w:p>
        </w:tc>
        <w:tc>
          <w:tcPr>
            <w:tcW w:w="1705" w:type="dxa"/>
            <w:noWrap w:val="0"/>
            <w:vAlign w:val="center"/>
          </w:tcPr>
          <w:p w14:paraId="024C8AA9">
            <w:pPr>
              <w:spacing w:line="560" w:lineRule="exact"/>
              <w:contextualSpacing/>
              <w:jc w:val="center"/>
              <w:rPr>
                <w:rFonts w:hint="eastAsia" w:ascii="仿宋_GB2312" w:hAnsi="黑体" w:eastAsia="仿宋_GB2312"/>
                <w:color w:val="000000"/>
                <w:sz w:val="24"/>
              </w:rPr>
            </w:pPr>
            <w:r>
              <w:rPr>
                <w:rFonts w:hint="eastAsia" w:asciiTheme="minorEastAsia" w:hAnsiTheme="minorEastAsia" w:cstheme="minorEastAsia"/>
                <w:color w:val="auto"/>
                <w:spacing w:val="-10"/>
                <w:szCs w:val="21"/>
                <w:highlight w:val="none"/>
                <w:lang w:val="en-US" w:eastAsia="zh-CN"/>
              </w:rPr>
              <w:t>8.6</w:t>
            </w:r>
          </w:p>
        </w:tc>
        <w:tc>
          <w:tcPr>
            <w:tcW w:w="1697" w:type="dxa"/>
            <w:gridSpan w:val="2"/>
            <w:noWrap w:val="0"/>
            <w:vAlign w:val="center"/>
          </w:tcPr>
          <w:p w14:paraId="64822DB9">
            <w:pPr>
              <w:spacing w:line="560" w:lineRule="exact"/>
              <w:contextualSpacing/>
              <w:jc w:val="center"/>
              <w:rPr>
                <w:rFonts w:hint="eastAsia" w:ascii="仿宋_GB2312" w:hAnsi="黑体" w:eastAsia="仿宋_GB2312"/>
                <w:color w:val="000000"/>
                <w:sz w:val="24"/>
              </w:rPr>
            </w:pPr>
            <w:r>
              <w:rPr>
                <w:rFonts w:hint="eastAsia" w:asciiTheme="minorEastAsia" w:hAnsiTheme="minorEastAsia" w:cstheme="minorEastAsia"/>
                <w:b w:val="0"/>
                <w:bCs w:val="0"/>
                <w:color w:val="auto"/>
                <w:sz w:val="21"/>
                <w:szCs w:val="21"/>
                <w:highlight w:val="none"/>
                <w:vertAlign w:val="baseline"/>
                <w:lang w:val="en-US" w:eastAsia="zh-CN"/>
              </w:rPr>
              <w:t>7.2</w:t>
            </w:r>
          </w:p>
        </w:tc>
      </w:tr>
    </w:tbl>
    <w:p w14:paraId="1D892E32">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注：</w:t>
      </w:r>
      <w:r>
        <w:rPr>
          <w:rFonts w:hint="eastAsia" w:ascii="楷体_GB2312" w:hAnsi="楷体_GB2312" w:eastAsia="楷体_GB2312" w:cs="楷体_GB2312"/>
          <w:color w:val="auto"/>
          <w:sz w:val="32"/>
          <w:szCs w:val="32"/>
          <w:highlight w:val="none"/>
          <w:vertAlign w:val="baseline"/>
          <w:lang w:val="en-US" w:eastAsia="zh-CN"/>
        </w:rPr>
        <w:t>〔〕内为5年累计数</w:t>
      </w:r>
    </w:p>
    <w:p w14:paraId="57F09A5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sz w:val="32"/>
          <w:szCs w:val="32"/>
          <w:lang w:val="en-US" w:eastAsia="zh-CN"/>
        </w:rPr>
        <w:t>（二）面临形势。</w:t>
      </w:r>
      <w:r>
        <w:rPr>
          <w:rFonts w:hint="eastAsia" w:ascii="仿宋_GB2312" w:hAnsi="仿宋_GB2312" w:eastAsia="仿宋_GB2312" w:cs="仿宋_GB2312"/>
          <w:sz w:val="32"/>
          <w:szCs w:val="32"/>
          <w:lang w:val="en-US" w:eastAsia="zh-CN"/>
        </w:rPr>
        <w:t>“十五五”时期，全市促进就业面临的机遇和挑战发生了新的变化。我国发展进入社会主义现代化新征程，为促进就业提供了强大内生动力。赤峰市进入政策优势与区位优势叠加的黄金发展期，为促进就业创造了良好条件。但随着产业结构的不断转型升级，对劳动者技能素质提出了更高要求，“有人没活干”和“有活没人干”现象并存，结构性就业矛盾更加突出。高校毕业生总量持续升高，就业形势更加艰巨；劳动力流动更加频繁，公共就业服务体系建设速度相对较缓；灵活就业人员学历水平、技能水平亟待提升，劳动权益保障有待加强；企业发展增速变缓，服务企业发展能力亟待加强。</w:t>
      </w:r>
    </w:p>
    <w:p w14:paraId="1C4B214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二、总体要求</w:t>
      </w:r>
    </w:p>
    <w:p w14:paraId="647CF4C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b w:val="0"/>
          <w:bCs w:val="0"/>
          <w:color w:val="auto"/>
          <w:sz w:val="32"/>
          <w:szCs w:val="32"/>
          <w:highlight w:val="none"/>
          <w:lang w:val="en-US" w:eastAsia="zh-CN"/>
        </w:rPr>
        <w:t>（一）指导思想。</w:t>
      </w:r>
      <w:r>
        <w:rPr>
          <w:rFonts w:hint="eastAsia" w:ascii="仿宋_GB2312" w:hAnsi="仿宋_GB2312" w:eastAsia="仿宋_GB2312" w:cs="仿宋_GB2312"/>
          <w:b w:val="0"/>
          <w:bCs w:val="0"/>
          <w:color w:val="auto"/>
          <w:sz w:val="32"/>
          <w:szCs w:val="32"/>
          <w:highlight w:val="none"/>
          <w:lang w:val="en-US" w:eastAsia="zh-CN"/>
        </w:rPr>
        <w:t>坚</w:t>
      </w:r>
      <w:r>
        <w:rPr>
          <w:rFonts w:hint="eastAsia" w:ascii="仿宋_GB2312" w:hAnsi="仿宋_GB2312" w:eastAsia="仿宋_GB2312" w:cs="仿宋_GB2312"/>
          <w:color w:val="auto"/>
          <w:sz w:val="32"/>
          <w:szCs w:val="32"/>
          <w:highlight w:val="none"/>
          <w:lang w:val="en-US" w:eastAsia="zh-CN"/>
        </w:rPr>
        <w:t>持以习近平新时代中国特色社会主义思想为指导，深入贯彻党的二十大和二十届历次全会精神，深入落实习近平总书记对内蒙古重要指示要求，铸牢中华民族共同体意识，把民族团结进步要求贯穿就业工作全过程各方面。</w:t>
      </w:r>
      <w:r>
        <w:rPr>
          <w:rFonts w:hint="eastAsia" w:ascii="仿宋_GB2312" w:hAnsi="仿宋_GB2312" w:eastAsia="仿宋_GB2312" w:cs="仿宋_GB2312"/>
          <w:sz w:val="32"/>
          <w:szCs w:val="32"/>
          <w:highlight w:val="none"/>
          <w:lang w:eastAsia="zh-CN"/>
        </w:rPr>
        <w:t>牢固和树立正确政绩观，</w:t>
      </w:r>
      <w:r>
        <w:rPr>
          <w:rFonts w:hint="eastAsia" w:ascii="仿宋_GB2312" w:hAnsi="仿宋_GB2312" w:eastAsia="仿宋_GB2312" w:cs="仿宋_GB2312"/>
          <w:color w:val="auto"/>
          <w:sz w:val="32"/>
          <w:szCs w:val="32"/>
          <w:highlight w:val="none"/>
          <w:lang w:val="en-US" w:eastAsia="zh-CN"/>
        </w:rPr>
        <w:t>以就业优先战略引领方向，</w:t>
      </w:r>
      <w:r>
        <w:rPr>
          <w:rFonts w:hint="eastAsia" w:ascii="仿宋_GB2312" w:hAnsi="仿宋_GB2312" w:eastAsia="仿宋_GB2312" w:cs="仿宋_GB2312"/>
          <w:sz w:val="32"/>
          <w:szCs w:val="32"/>
          <w:highlight w:val="none"/>
          <w:lang w:eastAsia="zh-CN"/>
        </w:rPr>
        <w:t>严格落实自治区党委、政府稳就业促就业工作部署，</w:t>
      </w:r>
      <w:r>
        <w:rPr>
          <w:rFonts w:hint="eastAsia" w:ascii="仿宋_GB2312" w:hAnsi="仿宋_GB2312" w:eastAsia="仿宋_GB2312" w:cs="仿宋_GB2312"/>
          <w:color w:val="auto"/>
          <w:sz w:val="32"/>
          <w:szCs w:val="32"/>
          <w:highlight w:val="none"/>
          <w:lang w:val="en-US" w:eastAsia="zh-CN"/>
        </w:rPr>
        <w:t>着力破解结构性就业矛盾，深化体制机制改革，坚决守牢风险底线。落实赤峰市委市</w:t>
      </w:r>
      <w:r>
        <w:rPr>
          <w:rFonts w:hint="eastAsia" w:ascii="仿宋_GB2312" w:hAnsi="仿宋_GB2312" w:eastAsia="仿宋_GB2312" w:cs="仿宋_GB2312"/>
          <w:sz w:val="32"/>
          <w:szCs w:val="32"/>
          <w:highlight w:val="none"/>
          <w:lang w:val="en-US" w:eastAsia="zh-CN"/>
        </w:rPr>
        <w:t>政府对就业工作的要求，把</w:t>
      </w:r>
      <w:r>
        <w:rPr>
          <w:rFonts w:hint="eastAsia" w:ascii="仿宋_GB2312" w:hAnsi="仿宋_GB2312" w:eastAsia="仿宋_GB2312" w:cs="仿宋_GB2312"/>
          <w:sz w:val="32"/>
          <w:szCs w:val="32"/>
          <w:highlight w:val="none"/>
          <w:lang w:eastAsia="zh-CN"/>
        </w:rPr>
        <w:t>稳定扩大就业融入全市“十大行动”、“五市五区”建设全过程，</w:t>
      </w:r>
      <w:r>
        <w:rPr>
          <w:rFonts w:hint="eastAsia" w:ascii="仿宋_GB2312" w:hAnsi="仿宋_GB2312" w:eastAsia="仿宋_GB2312" w:cs="仿宋_GB2312"/>
          <w:sz w:val="32"/>
          <w:szCs w:val="32"/>
          <w:highlight w:val="none"/>
          <w:lang w:val="en-US" w:eastAsia="zh-CN"/>
        </w:rPr>
        <w:t>全力</w:t>
      </w:r>
      <w:r>
        <w:rPr>
          <w:rFonts w:hint="eastAsia" w:ascii="仿宋_GB2312" w:hAnsi="仿宋_GB2312" w:eastAsia="仿宋_GB2312" w:cs="仿宋_GB2312"/>
          <w:color w:val="auto"/>
          <w:sz w:val="32"/>
          <w:szCs w:val="32"/>
          <w:highlight w:val="none"/>
          <w:lang w:val="en-US" w:eastAsia="zh-CN"/>
        </w:rPr>
        <w:t>促进高质量充分就业，实现就业质的提升与量的增长良性互动。</w:t>
      </w:r>
    </w:p>
    <w:p w14:paraId="240CB14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（二）主要目标。</w:t>
      </w:r>
      <w:r>
        <w:rPr>
          <w:rFonts w:hint="eastAsia" w:ascii="仿宋_GB2312" w:hAnsi="仿宋_GB2312" w:eastAsia="仿宋_GB2312" w:cs="仿宋_GB2312"/>
          <w:color w:val="auto"/>
          <w:sz w:val="32"/>
          <w:szCs w:val="32"/>
          <w:highlight w:val="none"/>
          <w:lang w:val="en-US" w:eastAsia="zh-CN"/>
        </w:rPr>
        <w:t>到2030年，就业形势保持总体稳定，高质量充分就业取得新进展，具体目标包括：</w:t>
      </w:r>
    </w:p>
    <w:p w14:paraId="3B1C783A">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——就业机会更加充分。</w:t>
      </w:r>
      <w:r>
        <w:rPr>
          <w:rFonts w:hint="eastAsia" w:ascii="仿宋_GB2312" w:hAnsi="仿宋_GB2312" w:eastAsia="仿宋_GB2312" w:cs="仿宋_GB2312"/>
          <w:color w:val="auto"/>
          <w:sz w:val="32"/>
          <w:szCs w:val="32"/>
          <w:highlight w:val="none"/>
          <w:lang w:val="en-US" w:eastAsia="zh-CN"/>
        </w:rPr>
        <w:t>城镇就业规模稳步扩大，失业风险得到有效管控，高校毕业生、农民工、就业困难人员等重点群体就业形势总体平稳，确保零就业家庭至少一人实现就业。</w:t>
      </w:r>
    </w:p>
    <w:p w14:paraId="0D75D48B">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——就业环境更加公平。</w:t>
      </w:r>
      <w:r>
        <w:rPr>
          <w:rFonts w:hint="eastAsia" w:ascii="仿宋_GB2312" w:hAnsi="仿宋_GB2312" w:eastAsia="仿宋_GB2312" w:cs="仿宋_GB2312"/>
          <w:color w:val="auto"/>
          <w:sz w:val="32"/>
          <w:szCs w:val="32"/>
          <w:highlight w:val="none"/>
          <w:lang w:val="en-US" w:eastAsia="zh-CN"/>
        </w:rPr>
        <w:t>统一开放、竞争有序的人力资源市场体系持续完善，助力劳动力和人才自由流动、合理配置的体制机制不断健全，妨碍平等就业的隐性壁垒、不合理限制及就业歧视问题得到有效治理。</w:t>
      </w:r>
    </w:p>
    <w:p w14:paraId="16AC5149">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——就业结构更加优化。</w:t>
      </w:r>
      <w:r>
        <w:rPr>
          <w:rFonts w:hint="eastAsia" w:ascii="仿宋_GB2312" w:hAnsi="仿宋_GB2312" w:eastAsia="仿宋_GB2312" w:cs="仿宋_GB2312"/>
          <w:color w:val="auto"/>
          <w:sz w:val="32"/>
          <w:szCs w:val="32"/>
          <w:highlight w:val="none"/>
          <w:lang w:val="en-US" w:eastAsia="zh-CN"/>
        </w:rPr>
        <w:t>服务业就业吸纳主阵地作用充分释放，城镇就业占就业总量比重稳步攀升，各区域就业布局更加协调合理，灵活就业、新业态规范健康发展，就业多元支撑格局持续巩固。</w:t>
      </w:r>
    </w:p>
    <w:p w14:paraId="663DBADC">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——人岗匹配更加高效。</w:t>
      </w:r>
      <w:r>
        <w:rPr>
          <w:rFonts w:hint="eastAsia" w:ascii="仿宋_GB2312" w:hAnsi="仿宋_GB2312" w:eastAsia="仿宋_GB2312" w:cs="仿宋_GB2312"/>
          <w:color w:val="auto"/>
          <w:sz w:val="32"/>
          <w:szCs w:val="32"/>
          <w:highlight w:val="none"/>
          <w:lang w:val="en-US" w:eastAsia="zh-CN"/>
        </w:rPr>
        <w:t>现代化人力资源培育体系持续完善，劳动者终身职业技能培训制度和人才评价体系更加健全，劳动者技能素质与产业转型升级和高质量发展需要更加匹配，技能人才队伍不断壮大。公共就业服务体系更加完善。服务均等化、标准化、便捷化水平显著提升。</w:t>
      </w:r>
    </w:p>
    <w:p w14:paraId="77BC2A21">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——劳动关系更加和谐。</w:t>
      </w:r>
      <w:r>
        <w:rPr>
          <w:rFonts w:hint="eastAsia" w:ascii="仿宋_GB2312" w:hAnsi="仿宋_GB2312" w:eastAsia="仿宋_GB2312" w:cs="仿宋_GB2312"/>
          <w:color w:val="auto"/>
          <w:sz w:val="32"/>
          <w:szCs w:val="32"/>
          <w:highlight w:val="none"/>
          <w:lang w:val="en-US" w:eastAsia="zh-CN"/>
        </w:rPr>
        <w:t>劳动就业法治体系持续完善，企业劳动用工行为日趋规范，劳动报酬合理增长，社会保险覆盖面持续扩大、保障水平稳步提升，劳动者合法权益得到全方位、常态化保障，和谐稳定的劳动关系格局持续巩固。</w:t>
      </w:r>
    </w:p>
    <w:p w14:paraId="35897E3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9"/>
        <w:gridCol w:w="1575"/>
        <w:gridCol w:w="1665"/>
        <w:gridCol w:w="1446"/>
        <w:gridCol w:w="1067"/>
      </w:tblGrid>
      <w:tr w14:paraId="09C70D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tcPr>
          <w:p w14:paraId="5CDB7DA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16"/>
                <w:szCs w:val="16"/>
                <w:highlight w:val="none"/>
                <w:vertAlign w:val="baseline"/>
                <w:lang w:val="en-US" w:eastAsia="zh-CN"/>
              </w:rPr>
            </w:pPr>
            <w:r>
              <w:rPr>
                <w:rFonts w:hint="eastAsia" w:ascii="黑体" w:hAnsi="黑体" w:eastAsia="黑体" w:cs="黑体"/>
                <w:b w:val="0"/>
                <w:bCs w:val="0"/>
                <w:color w:val="auto"/>
                <w:sz w:val="32"/>
                <w:szCs w:val="32"/>
                <w:highlight w:val="none"/>
                <w:vertAlign w:val="baseline"/>
                <w:lang w:val="en-US" w:eastAsia="zh-CN"/>
              </w:rPr>
              <w:t>专栏2 “十五五”时期就业主要指标</w:t>
            </w:r>
          </w:p>
        </w:tc>
      </w:tr>
      <w:tr w14:paraId="06893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2769" w:type="dxa"/>
            <w:vAlign w:val="center"/>
          </w:tcPr>
          <w:p w14:paraId="5022E57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指标</w:t>
            </w:r>
            <w:r>
              <w:rPr>
                <w:rFonts w:hint="eastAsia" w:asciiTheme="minorEastAsia" w:hAnsiTheme="minorEastAsia" w:cstheme="minorEastAsia"/>
                <w:b/>
                <w:bCs/>
                <w:color w:val="auto"/>
                <w:sz w:val="24"/>
                <w:szCs w:val="24"/>
                <w:highlight w:val="none"/>
                <w:vertAlign w:val="baseline"/>
                <w:lang w:val="en-US" w:eastAsia="zh-CN"/>
              </w:rPr>
              <w:t>名称</w:t>
            </w:r>
          </w:p>
        </w:tc>
        <w:tc>
          <w:tcPr>
            <w:tcW w:w="1575" w:type="dxa"/>
            <w:vAlign w:val="center"/>
          </w:tcPr>
          <w:p w14:paraId="2167ADD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2025年</w:t>
            </w:r>
          </w:p>
        </w:tc>
        <w:tc>
          <w:tcPr>
            <w:tcW w:w="1665" w:type="dxa"/>
            <w:vAlign w:val="center"/>
          </w:tcPr>
          <w:p w14:paraId="520B354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2030年</w:t>
            </w:r>
          </w:p>
        </w:tc>
        <w:tc>
          <w:tcPr>
            <w:tcW w:w="1446" w:type="dxa"/>
            <w:vAlign w:val="center"/>
          </w:tcPr>
          <w:p w14:paraId="087FAC4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cstheme="minorEastAsia"/>
                <w:b/>
                <w:bCs/>
                <w:color w:val="auto"/>
                <w:sz w:val="24"/>
                <w:szCs w:val="24"/>
                <w:highlight w:val="none"/>
                <w:vertAlign w:val="baseline"/>
                <w:lang w:val="en-US" w:eastAsia="zh-CN"/>
              </w:rPr>
              <w:t>年均/累计</w:t>
            </w:r>
          </w:p>
        </w:tc>
        <w:tc>
          <w:tcPr>
            <w:tcW w:w="1067" w:type="dxa"/>
            <w:vAlign w:val="center"/>
          </w:tcPr>
          <w:p w14:paraId="5687F5D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Theme="minorEastAsia" w:hAnsiTheme="minorEastAsia" w:eastAsiaTheme="minorEastAsia" w:cstheme="minorEastAsia"/>
                <w:b/>
                <w:bCs/>
                <w:color w:val="auto"/>
                <w:sz w:val="24"/>
                <w:szCs w:val="24"/>
                <w:highlight w:val="none"/>
                <w:vertAlign w:val="baseline"/>
                <w:lang w:val="en-US" w:eastAsia="zh-CN"/>
              </w:rPr>
            </w:pPr>
            <w:r>
              <w:rPr>
                <w:rFonts w:hint="eastAsia" w:asciiTheme="minorEastAsia" w:hAnsiTheme="minorEastAsia" w:eastAsiaTheme="minorEastAsia" w:cstheme="minorEastAsia"/>
                <w:b/>
                <w:bCs/>
                <w:color w:val="auto"/>
                <w:sz w:val="24"/>
                <w:szCs w:val="24"/>
                <w:highlight w:val="none"/>
                <w:vertAlign w:val="baseline"/>
                <w:lang w:val="en-US" w:eastAsia="zh-CN"/>
              </w:rPr>
              <w:t>属性</w:t>
            </w:r>
          </w:p>
        </w:tc>
      </w:tr>
      <w:tr w14:paraId="281F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9" w:type="dxa"/>
            <w:vAlign w:val="center"/>
          </w:tcPr>
          <w:p w14:paraId="38AC165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城镇新增就业（万人）</w:t>
            </w:r>
          </w:p>
        </w:tc>
        <w:tc>
          <w:tcPr>
            <w:tcW w:w="1575" w:type="dxa"/>
            <w:vAlign w:val="center"/>
          </w:tcPr>
          <w:p w14:paraId="7B9DC8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1.97</w:t>
            </w:r>
          </w:p>
        </w:tc>
        <w:tc>
          <w:tcPr>
            <w:tcW w:w="1665" w:type="dxa"/>
            <w:shd w:val="clear" w:color="auto" w:fill="auto"/>
            <w:vAlign w:val="center"/>
          </w:tcPr>
          <w:p w14:paraId="374966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2"/>
                <w:sz w:val="24"/>
                <w:szCs w:val="24"/>
                <w:highlight w:val="none"/>
                <w:vertAlign w:val="baseline"/>
                <w:lang w:val="en-US" w:eastAsia="zh-CN" w:bidi="ar-SA"/>
              </w:rPr>
            </w:pPr>
            <w:r>
              <w:rPr>
                <w:rFonts w:hint="eastAsia" w:ascii="仿宋_GB2312" w:hAnsi="仿宋_GB2312" w:eastAsia="仿宋_GB2312" w:cs="仿宋_GB2312"/>
                <w:b w:val="0"/>
                <w:bCs w:val="0"/>
                <w:color w:val="auto"/>
                <w:spacing w:val="-10"/>
                <w:kern w:val="0"/>
                <w:sz w:val="24"/>
                <w:szCs w:val="24"/>
                <w:highlight w:val="none"/>
                <w:lang w:eastAsia="zh-CN"/>
              </w:rPr>
              <w:t>——</w:t>
            </w:r>
          </w:p>
        </w:tc>
        <w:tc>
          <w:tcPr>
            <w:tcW w:w="1446" w:type="dxa"/>
            <w:vAlign w:val="center"/>
          </w:tcPr>
          <w:p w14:paraId="0B3D80F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u w:val="none"/>
                <w:vertAlign w:val="baseline"/>
                <w:lang w:val="en-US" w:eastAsia="zh-CN"/>
              </w:rPr>
            </w:pPr>
            <w:r>
              <w:rPr>
                <w:rFonts w:hint="eastAsia" w:ascii="仿宋_GB2312" w:hAnsi="仿宋_GB2312" w:eastAsia="仿宋_GB2312" w:cs="仿宋_GB2312"/>
                <w:b w:val="0"/>
                <w:bCs w:val="0"/>
                <w:color w:val="auto"/>
                <w:sz w:val="24"/>
                <w:szCs w:val="24"/>
                <w:highlight w:val="none"/>
                <w:u w:val="none"/>
                <w:vertAlign w:val="baseline"/>
                <w:lang w:val="en-US" w:eastAsia="zh-CN"/>
              </w:rPr>
              <w:t>〔7.5〕</w:t>
            </w:r>
          </w:p>
        </w:tc>
        <w:tc>
          <w:tcPr>
            <w:tcW w:w="1067" w:type="dxa"/>
            <w:vAlign w:val="center"/>
          </w:tcPr>
          <w:p w14:paraId="3839B6C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预期性</w:t>
            </w:r>
          </w:p>
        </w:tc>
      </w:tr>
      <w:tr w14:paraId="6A84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9" w:type="dxa"/>
            <w:shd w:val="clear" w:color="auto" w:fill="auto"/>
            <w:vAlign w:val="top"/>
          </w:tcPr>
          <w:p w14:paraId="12392941">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新取得高级工以上职业资格证书或职业技能等级证书（万人次）</w:t>
            </w:r>
          </w:p>
        </w:tc>
        <w:tc>
          <w:tcPr>
            <w:tcW w:w="1575" w:type="dxa"/>
            <w:shd w:val="clear" w:color="auto" w:fill="auto"/>
            <w:vAlign w:val="center"/>
          </w:tcPr>
          <w:p w14:paraId="26563860">
            <w:pPr>
              <w:adjustRightInd w:val="0"/>
              <w:snapToGrid w:val="0"/>
              <w:spacing w:line="560" w:lineRule="exact"/>
              <w:jc w:val="center"/>
              <w:rPr>
                <w:rFonts w:hint="default" w:ascii="仿宋_GB2312" w:hAnsi="仿宋_GB2312" w:eastAsia="仿宋_GB2312" w:cs="仿宋_GB2312"/>
                <w:color w:val="auto"/>
                <w:spacing w:val="-10"/>
                <w:kern w:val="2"/>
                <w:sz w:val="24"/>
                <w:szCs w:val="24"/>
                <w:highlight w:val="none"/>
                <w:lang w:val="en-US" w:eastAsia="zh-CN" w:bidi="ar-SA"/>
              </w:rPr>
            </w:pPr>
            <w:r>
              <w:rPr>
                <w:rFonts w:hint="eastAsia" w:ascii="仿宋_GB2312" w:hAnsi="仿宋_GB2312" w:eastAsia="仿宋_GB2312" w:cs="仿宋_GB2312"/>
                <w:color w:val="auto"/>
                <w:spacing w:val="-10"/>
                <w:kern w:val="2"/>
                <w:sz w:val="24"/>
                <w:szCs w:val="24"/>
                <w:highlight w:val="none"/>
                <w:lang w:val="en-US" w:eastAsia="zh-CN" w:bidi="ar-SA"/>
              </w:rPr>
              <w:t>0.38</w:t>
            </w:r>
          </w:p>
        </w:tc>
        <w:tc>
          <w:tcPr>
            <w:tcW w:w="1665" w:type="dxa"/>
            <w:shd w:val="clear" w:color="auto" w:fill="auto"/>
            <w:vAlign w:val="center"/>
          </w:tcPr>
          <w:p w14:paraId="626693D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2"/>
                <w:sz w:val="24"/>
                <w:szCs w:val="24"/>
                <w:highlight w:val="none"/>
                <w:vertAlign w:val="baseline"/>
                <w:lang w:val="en-US" w:eastAsia="zh-CN" w:bidi="ar-SA"/>
              </w:rPr>
            </w:pPr>
            <w:r>
              <w:rPr>
                <w:rFonts w:hint="eastAsia" w:ascii="仿宋_GB2312" w:hAnsi="仿宋_GB2312" w:eastAsia="仿宋_GB2312" w:cs="仿宋_GB2312"/>
                <w:b w:val="0"/>
                <w:bCs w:val="0"/>
                <w:color w:val="auto"/>
                <w:spacing w:val="-10"/>
                <w:kern w:val="0"/>
                <w:sz w:val="24"/>
                <w:szCs w:val="24"/>
                <w:highlight w:val="none"/>
                <w:lang w:eastAsia="zh-CN"/>
              </w:rPr>
              <w:t>——</w:t>
            </w:r>
          </w:p>
        </w:tc>
        <w:tc>
          <w:tcPr>
            <w:tcW w:w="1446" w:type="dxa"/>
            <w:shd w:val="clear" w:color="auto" w:fill="auto"/>
            <w:vAlign w:val="center"/>
          </w:tcPr>
          <w:p w14:paraId="2E41E0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24"/>
                <w:szCs w:val="24"/>
                <w:highlight w:val="none"/>
                <w:u w:val="none"/>
                <w:vertAlign w:val="baseline"/>
                <w:lang w:val="en-US" w:eastAsia="zh-CN"/>
              </w:rPr>
            </w:pPr>
            <w:r>
              <w:rPr>
                <w:rFonts w:hint="eastAsia" w:ascii="仿宋_GB2312" w:hAnsi="仿宋_GB2312" w:eastAsia="仿宋_GB2312" w:cs="仿宋_GB2312"/>
                <w:color w:val="auto"/>
                <w:sz w:val="24"/>
                <w:szCs w:val="24"/>
                <w:highlight w:val="none"/>
                <w:u w:val="none"/>
                <w:vertAlign w:val="baseline"/>
                <w:lang w:val="en-US" w:eastAsia="zh-CN"/>
              </w:rPr>
              <w:t>0.3</w:t>
            </w:r>
          </w:p>
        </w:tc>
        <w:tc>
          <w:tcPr>
            <w:tcW w:w="1067" w:type="dxa"/>
            <w:shd w:val="clear" w:color="auto" w:fill="auto"/>
            <w:vAlign w:val="center"/>
          </w:tcPr>
          <w:p w14:paraId="6D7140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预期性</w:t>
            </w:r>
          </w:p>
        </w:tc>
      </w:tr>
      <w:tr w14:paraId="3DC87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9" w:type="dxa"/>
            <w:shd w:val="clear" w:color="auto" w:fill="auto"/>
            <w:vAlign w:val="top"/>
          </w:tcPr>
          <w:p w14:paraId="5F474F2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kern w:val="2"/>
                <w:sz w:val="24"/>
                <w:szCs w:val="24"/>
                <w:highlight w:val="none"/>
                <w:vertAlign w:val="baseline"/>
                <w:lang w:val="en-US" w:eastAsia="zh-CN" w:bidi="ar-SA"/>
              </w:rPr>
            </w:pPr>
            <w:r>
              <w:rPr>
                <w:rFonts w:hint="eastAsia" w:ascii="仿宋_GB2312" w:hAnsi="仿宋_GB2312" w:eastAsia="仿宋_GB2312" w:cs="仿宋_GB2312"/>
                <w:color w:val="auto"/>
                <w:kern w:val="2"/>
                <w:sz w:val="24"/>
                <w:szCs w:val="24"/>
                <w:highlight w:val="none"/>
                <w:vertAlign w:val="baseline"/>
                <w:lang w:val="en-US" w:eastAsia="zh-CN" w:bidi="ar-SA"/>
              </w:rPr>
              <w:t>劳动保障监察举报投诉案件结案率（%）</w:t>
            </w:r>
          </w:p>
        </w:tc>
        <w:tc>
          <w:tcPr>
            <w:tcW w:w="1575" w:type="dxa"/>
            <w:shd w:val="clear" w:color="auto" w:fill="auto"/>
            <w:vAlign w:val="center"/>
          </w:tcPr>
          <w:p w14:paraId="79E15678">
            <w:pPr>
              <w:adjustRightInd w:val="0"/>
              <w:snapToGrid w:val="0"/>
              <w:spacing w:line="560" w:lineRule="exact"/>
              <w:jc w:val="center"/>
              <w:rPr>
                <w:rFonts w:hint="eastAsia" w:ascii="仿宋_GB2312" w:hAnsi="仿宋_GB2312" w:eastAsia="仿宋_GB2312" w:cs="仿宋_GB2312"/>
                <w:color w:val="auto"/>
                <w:spacing w:val="-10"/>
                <w:kern w:val="2"/>
                <w:sz w:val="24"/>
                <w:szCs w:val="24"/>
                <w:highlight w:val="none"/>
                <w:lang w:val="en-US" w:eastAsia="zh-CN" w:bidi="ar-SA"/>
              </w:rPr>
            </w:pPr>
            <w:r>
              <w:rPr>
                <w:rFonts w:hint="eastAsia" w:ascii="仿宋_GB2312" w:hAnsi="仿宋_GB2312" w:eastAsia="仿宋_GB2312" w:cs="仿宋_GB2312"/>
                <w:color w:val="auto"/>
                <w:spacing w:val="-10"/>
                <w:kern w:val="2"/>
                <w:sz w:val="24"/>
                <w:szCs w:val="24"/>
                <w:highlight w:val="none"/>
                <w:lang w:val="en-US" w:eastAsia="zh-CN" w:bidi="ar-SA"/>
              </w:rPr>
              <w:t>97</w:t>
            </w:r>
          </w:p>
        </w:tc>
        <w:tc>
          <w:tcPr>
            <w:tcW w:w="1665" w:type="dxa"/>
            <w:shd w:val="clear" w:color="auto" w:fill="auto"/>
            <w:vAlign w:val="center"/>
          </w:tcPr>
          <w:p w14:paraId="01FE7EC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2"/>
                <w:sz w:val="24"/>
                <w:szCs w:val="24"/>
                <w:highlight w:val="none"/>
                <w:vertAlign w:val="baseline"/>
                <w:lang w:val="en-US" w:eastAsia="zh-CN" w:bidi="ar-SA"/>
              </w:rPr>
            </w:pPr>
            <w:r>
              <w:rPr>
                <w:rFonts w:hint="eastAsia" w:ascii="仿宋_GB2312" w:hAnsi="仿宋_GB2312" w:eastAsia="仿宋_GB2312" w:cs="仿宋_GB2312"/>
                <w:b w:val="0"/>
                <w:bCs w:val="0"/>
                <w:color w:val="auto"/>
                <w:kern w:val="2"/>
                <w:sz w:val="24"/>
                <w:szCs w:val="24"/>
                <w:highlight w:val="none"/>
                <w:vertAlign w:val="baseline"/>
                <w:lang w:val="en-US" w:eastAsia="zh-CN" w:bidi="ar-SA"/>
              </w:rPr>
              <w:t>＞97</w:t>
            </w:r>
          </w:p>
        </w:tc>
        <w:tc>
          <w:tcPr>
            <w:tcW w:w="1446" w:type="dxa"/>
            <w:shd w:val="clear" w:color="auto" w:fill="auto"/>
            <w:vAlign w:val="center"/>
          </w:tcPr>
          <w:p w14:paraId="08116C8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b w:val="0"/>
                <w:bCs w:val="0"/>
                <w:color w:val="auto"/>
                <w:spacing w:val="-10"/>
                <w:kern w:val="0"/>
                <w:sz w:val="24"/>
                <w:szCs w:val="24"/>
                <w:highlight w:val="none"/>
                <w:lang w:eastAsia="zh-CN"/>
              </w:rPr>
              <w:t>——</w:t>
            </w:r>
          </w:p>
        </w:tc>
        <w:tc>
          <w:tcPr>
            <w:tcW w:w="1067" w:type="dxa"/>
            <w:shd w:val="clear" w:color="auto" w:fill="auto"/>
            <w:vAlign w:val="center"/>
          </w:tcPr>
          <w:p w14:paraId="5241FC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2"/>
                <w:sz w:val="24"/>
                <w:szCs w:val="24"/>
                <w:highlight w:val="none"/>
                <w:vertAlign w:val="baseline"/>
                <w:lang w:val="en-US" w:eastAsia="zh-CN" w:bidi="ar-SA"/>
              </w:rPr>
            </w:pPr>
            <w:r>
              <w:rPr>
                <w:rFonts w:hint="eastAsia" w:ascii="仿宋_GB2312" w:hAnsi="仿宋_GB2312" w:eastAsia="仿宋_GB2312" w:cs="仿宋_GB2312"/>
                <w:color w:val="auto"/>
                <w:sz w:val="24"/>
                <w:szCs w:val="24"/>
                <w:highlight w:val="none"/>
                <w:vertAlign w:val="baseline"/>
                <w:lang w:val="en-US" w:eastAsia="zh-CN"/>
              </w:rPr>
              <w:t>预期性</w:t>
            </w:r>
          </w:p>
        </w:tc>
      </w:tr>
      <w:tr w14:paraId="00555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9" w:type="dxa"/>
            <w:vAlign w:val="center"/>
          </w:tcPr>
          <w:p w14:paraId="194CA2A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基本养老保险参保率（%）</w:t>
            </w:r>
          </w:p>
        </w:tc>
        <w:tc>
          <w:tcPr>
            <w:tcW w:w="1575" w:type="dxa"/>
            <w:vAlign w:val="center"/>
          </w:tcPr>
          <w:p w14:paraId="39B1DB2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＞95</w:t>
            </w:r>
          </w:p>
        </w:tc>
        <w:tc>
          <w:tcPr>
            <w:tcW w:w="1665" w:type="dxa"/>
            <w:shd w:val="clear" w:color="auto" w:fill="auto"/>
            <w:vAlign w:val="center"/>
          </w:tcPr>
          <w:p w14:paraId="043FAE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val="0"/>
                <w:color w:val="auto"/>
                <w:kern w:val="2"/>
                <w:sz w:val="24"/>
                <w:szCs w:val="24"/>
                <w:highlight w:val="none"/>
                <w:vertAlign w:val="baseline"/>
                <w:lang w:val="en-US" w:eastAsia="zh-CN" w:bidi="ar-SA"/>
              </w:rPr>
            </w:pPr>
            <w:r>
              <w:rPr>
                <w:rFonts w:hint="eastAsia" w:ascii="仿宋_GB2312" w:hAnsi="仿宋_GB2312" w:eastAsia="仿宋_GB2312" w:cs="仿宋_GB2312"/>
                <w:b w:val="0"/>
                <w:bCs w:val="0"/>
                <w:color w:val="auto"/>
                <w:kern w:val="2"/>
                <w:sz w:val="24"/>
                <w:szCs w:val="24"/>
                <w:highlight w:val="none"/>
                <w:vertAlign w:val="baseline"/>
                <w:lang w:val="en-US" w:eastAsia="zh-CN" w:bidi="ar-SA"/>
              </w:rPr>
              <w:t>＞95</w:t>
            </w:r>
          </w:p>
        </w:tc>
        <w:tc>
          <w:tcPr>
            <w:tcW w:w="1446" w:type="dxa"/>
            <w:vAlign w:val="center"/>
          </w:tcPr>
          <w:p w14:paraId="42327AA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b w:val="0"/>
                <w:bCs w:val="0"/>
                <w:color w:val="auto"/>
                <w:spacing w:val="-10"/>
                <w:kern w:val="0"/>
                <w:sz w:val="24"/>
                <w:szCs w:val="24"/>
                <w:highlight w:val="none"/>
                <w:lang w:eastAsia="zh-CN"/>
              </w:rPr>
              <w:t>——</w:t>
            </w:r>
          </w:p>
        </w:tc>
        <w:tc>
          <w:tcPr>
            <w:tcW w:w="1067" w:type="dxa"/>
            <w:vAlign w:val="center"/>
          </w:tcPr>
          <w:p w14:paraId="4F3C8B4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预期性</w:t>
            </w:r>
          </w:p>
        </w:tc>
      </w:tr>
      <w:tr w14:paraId="7F8B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9" w:type="dxa"/>
            <w:vAlign w:val="center"/>
          </w:tcPr>
          <w:p w14:paraId="6A7874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基本医疗保险参保率（%）</w:t>
            </w:r>
          </w:p>
        </w:tc>
        <w:tc>
          <w:tcPr>
            <w:tcW w:w="1575" w:type="dxa"/>
            <w:vAlign w:val="center"/>
          </w:tcPr>
          <w:p w14:paraId="2324CF86">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95</w:t>
            </w:r>
          </w:p>
        </w:tc>
        <w:tc>
          <w:tcPr>
            <w:tcW w:w="1665" w:type="dxa"/>
            <w:shd w:val="clear" w:color="auto" w:fill="auto"/>
            <w:vAlign w:val="center"/>
          </w:tcPr>
          <w:p w14:paraId="0AB862D6">
            <w:pPr>
              <w:spacing w:line="560" w:lineRule="exact"/>
              <w:jc w:val="center"/>
              <w:rPr>
                <w:rFonts w:hint="eastAsia" w:ascii="仿宋_GB2312" w:hAnsi="仿宋_GB2312" w:eastAsia="仿宋_GB2312" w:cs="仿宋_GB2312"/>
                <w:b w:val="0"/>
                <w:bCs w:val="0"/>
                <w:color w:val="auto"/>
                <w:kern w:val="2"/>
                <w:sz w:val="24"/>
                <w:szCs w:val="24"/>
                <w:highlight w:val="none"/>
                <w:vertAlign w:val="baseline"/>
                <w:lang w:val="en-US" w:eastAsia="zh-CN" w:bidi="ar-SA"/>
              </w:rPr>
            </w:pPr>
            <w:r>
              <w:rPr>
                <w:rFonts w:hint="eastAsia" w:ascii="仿宋_GB2312" w:hAnsi="仿宋_GB2312" w:eastAsia="仿宋_GB2312" w:cs="仿宋_GB2312"/>
                <w:b w:val="0"/>
                <w:bCs w:val="0"/>
                <w:color w:val="auto"/>
                <w:kern w:val="2"/>
                <w:sz w:val="24"/>
                <w:szCs w:val="24"/>
                <w:highlight w:val="none"/>
                <w:vertAlign w:val="baseline"/>
                <w:lang w:val="en-US" w:eastAsia="zh-CN" w:bidi="ar-SA"/>
              </w:rPr>
              <w:t>95左右</w:t>
            </w:r>
          </w:p>
        </w:tc>
        <w:tc>
          <w:tcPr>
            <w:tcW w:w="1446" w:type="dxa"/>
            <w:vAlign w:val="center"/>
          </w:tcPr>
          <w:p w14:paraId="60621F48">
            <w:pPr>
              <w:spacing w:line="56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b w:val="0"/>
                <w:bCs w:val="0"/>
                <w:color w:val="auto"/>
                <w:spacing w:val="-10"/>
                <w:kern w:val="0"/>
                <w:sz w:val="24"/>
                <w:szCs w:val="24"/>
                <w:highlight w:val="none"/>
                <w:lang w:eastAsia="zh-CN"/>
              </w:rPr>
              <w:t>——</w:t>
            </w:r>
          </w:p>
        </w:tc>
        <w:tc>
          <w:tcPr>
            <w:tcW w:w="1067" w:type="dxa"/>
            <w:vAlign w:val="center"/>
          </w:tcPr>
          <w:p w14:paraId="2602293B">
            <w:pPr>
              <w:spacing w:line="560" w:lineRule="exact"/>
              <w:jc w:val="center"/>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rPr>
              <w:t>预期性</w:t>
            </w:r>
          </w:p>
        </w:tc>
      </w:tr>
      <w:tr w14:paraId="69435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9" w:type="dxa"/>
            <w:vAlign w:val="center"/>
          </w:tcPr>
          <w:p w14:paraId="399F27C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失业保险参保人数（万人）</w:t>
            </w:r>
          </w:p>
        </w:tc>
        <w:tc>
          <w:tcPr>
            <w:tcW w:w="1575" w:type="dxa"/>
            <w:vAlign w:val="center"/>
          </w:tcPr>
          <w:p w14:paraId="3E8A870B">
            <w:pPr>
              <w:spacing w:line="56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37.6</w:t>
            </w:r>
          </w:p>
        </w:tc>
        <w:tc>
          <w:tcPr>
            <w:tcW w:w="1665" w:type="dxa"/>
            <w:shd w:val="clear" w:color="auto" w:fill="auto"/>
            <w:vAlign w:val="center"/>
          </w:tcPr>
          <w:p w14:paraId="65E63EC2">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37.6</w:t>
            </w:r>
          </w:p>
        </w:tc>
        <w:tc>
          <w:tcPr>
            <w:tcW w:w="1446" w:type="dxa"/>
            <w:vAlign w:val="center"/>
          </w:tcPr>
          <w:p w14:paraId="78608105">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b w:val="0"/>
                <w:bCs w:val="0"/>
                <w:color w:val="auto"/>
                <w:spacing w:val="-10"/>
                <w:kern w:val="0"/>
                <w:sz w:val="24"/>
                <w:szCs w:val="24"/>
                <w:highlight w:val="none"/>
                <w:lang w:eastAsia="zh-CN"/>
              </w:rPr>
              <w:t>——</w:t>
            </w:r>
          </w:p>
        </w:tc>
        <w:tc>
          <w:tcPr>
            <w:tcW w:w="1067" w:type="dxa"/>
            <w:vAlign w:val="center"/>
          </w:tcPr>
          <w:p w14:paraId="5D1F8F0E">
            <w:pPr>
              <w:spacing w:line="560" w:lineRule="exact"/>
              <w:jc w:val="center"/>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rPr>
              <w:t>预期性</w:t>
            </w:r>
          </w:p>
        </w:tc>
      </w:tr>
      <w:tr w14:paraId="4F02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769" w:type="dxa"/>
            <w:vAlign w:val="center"/>
          </w:tcPr>
          <w:p w14:paraId="79E335F6">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_GB2312" w:hAnsi="仿宋_GB2312" w:eastAsia="仿宋_GB2312" w:cs="仿宋_GB2312"/>
                <w:color w:val="auto"/>
                <w:sz w:val="24"/>
                <w:szCs w:val="24"/>
                <w:highlight w:val="none"/>
                <w:vertAlign w:val="baseline"/>
                <w:lang w:val="en-US" w:eastAsia="zh-CN"/>
              </w:rPr>
            </w:pPr>
            <w:r>
              <w:rPr>
                <w:rFonts w:hint="eastAsia" w:ascii="仿宋_GB2312" w:hAnsi="仿宋_GB2312" w:eastAsia="仿宋_GB2312" w:cs="仿宋_GB2312"/>
                <w:color w:val="auto"/>
                <w:sz w:val="24"/>
                <w:szCs w:val="24"/>
                <w:highlight w:val="none"/>
                <w:vertAlign w:val="baseline"/>
                <w:lang w:val="en-US" w:eastAsia="zh-CN"/>
              </w:rPr>
              <w:t>工伤保险（含职业伤害保障）参保人数（万人）</w:t>
            </w:r>
          </w:p>
        </w:tc>
        <w:tc>
          <w:tcPr>
            <w:tcW w:w="1575" w:type="dxa"/>
            <w:vAlign w:val="center"/>
          </w:tcPr>
          <w:p w14:paraId="3440D758">
            <w:pPr>
              <w:spacing w:line="56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42.48</w:t>
            </w:r>
          </w:p>
        </w:tc>
        <w:tc>
          <w:tcPr>
            <w:tcW w:w="1665" w:type="dxa"/>
            <w:shd w:val="clear" w:color="auto" w:fill="auto"/>
            <w:vAlign w:val="center"/>
          </w:tcPr>
          <w:p w14:paraId="6C68187A">
            <w:pPr>
              <w:spacing w:line="560" w:lineRule="exact"/>
              <w:jc w:val="center"/>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sz w:val="24"/>
                <w:szCs w:val="24"/>
                <w:highlight w:val="none"/>
              </w:rPr>
              <w:t>＞43.5</w:t>
            </w:r>
          </w:p>
        </w:tc>
        <w:tc>
          <w:tcPr>
            <w:tcW w:w="1446" w:type="dxa"/>
            <w:vAlign w:val="center"/>
          </w:tcPr>
          <w:p w14:paraId="05998BDF">
            <w:pPr>
              <w:spacing w:line="56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b w:val="0"/>
                <w:bCs w:val="0"/>
                <w:color w:val="auto"/>
                <w:spacing w:val="-10"/>
                <w:kern w:val="0"/>
                <w:sz w:val="24"/>
                <w:szCs w:val="24"/>
                <w:highlight w:val="none"/>
                <w:lang w:eastAsia="zh-CN"/>
              </w:rPr>
              <w:t>——</w:t>
            </w:r>
          </w:p>
        </w:tc>
        <w:tc>
          <w:tcPr>
            <w:tcW w:w="1067" w:type="dxa"/>
            <w:vAlign w:val="center"/>
          </w:tcPr>
          <w:p w14:paraId="704A9A0C">
            <w:pPr>
              <w:spacing w:line="560" w:lineRule="exact"/>
              <w:jc w:val="center"/>
              <w:rPr>
                <w:rFonts w:hint="eastAsia" w:ascii="仿宋_GB2312" w:hAnsi="仿宋_GB2312" w:eastAsia="仿宋_GB2312" w:cs="仿宋_GB2312"/>
                <w:color w:val="auto"/>
                <w:sz w:val="24"/>
                <w:szCs w:val="24"/>
                <w:highlight w:val="none"/>
                <w:lang w:eastAsia="zh-CN"/>
              </w:rPr>
            </w:pPr>
            <w:r>
              <w:rPr>
                <w:rFonts w:hint="eastAsia" w:ascii="仿宋_GB2312" w:hAnsi="仿宋_GB2312" w:eastAsia="仿宋_GB2312" w:cs="仿宋_GB2312"/>
                <w:color w:val="auto"/>
                <w:sz w:val="24"/>
                <w:szCs w:val="24"/>
                <w:highlight w:val="none"/>
              </w:rPr>
              <w:t>预期性</w:t>
            </w:r>
          </w:p>
        </w:tc>
      </w:tr>
    </w:tbl>
    <w:p w14:paraId="0AB9C861">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color w:val="auto"/>
          <w:kern w:val="2"/>
          <w:sz w:val="32"/>
          <w:szCs w:val="32"/>
          <w:lang w:val="en-US" w:eastAsia="zh-CN" w:bidi="ar-SA"/>
        </w:rPr>
      </w:pPr>
      <w:r>
        <w:rPr>
          <w:rFonts w:hint="eastAsia" w:ascii="楷体_GB2312" w:hAnsi="楷体_GB2312" w:eastAsia="楷体_GB2312" w:cs="楷体_GB2312"/>
          <w:color w:val="auto"/>
          <w:kern w:val="2"/>
          <w:sz w:val="32"/>
          <w:szCs w:val="32"/>
          <w:lang w:val="en-US" w:eastAsia="zh-CN" w:bidi="ar-SA"/>
        </w:rPr>
        <w:t>注：</w:t>
      </w:r>
      <w:r>
        <w:rPr>
          <w:rFonts w:hint="eastAsia" w:ascii="楷体_GB2312" w:hAnsi="楷体_GB2312" w:eastAsia="楷体_GB2312" w:cs="楷体_GB2312"/>
          <w:color w:val="auto"/>
          <w:sz w:val="32"/>
          <w:szCs w:val="32"/>
          <w:highlight w:val="none"/>
          <w:vertAlign w:val="baseline"/>
          <w:lang w:val="en-US" w:eastAsia="zh-CN"/>
        </w:rPr>
        <w:t>〔〕内为5年累计数</w:t>
      </w:r>
    </w:p>
    <w:p w14:paraId="74675F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kern w:val="2"/>
          <w:sz w:val="32"/>
          <w:szCs w:val="32"/>
          <w:lang w:val="en-US" w:eastAsia="zh-CN" w:bidi="ar-SA"/>
        </w:rPr>
      </w:pPr>
      <w:r>
        <w:rPr>
          <w:rFonts w:hint="eastAsia" w:ascii="黑体" w:hAnsi="黑体" w:eastAsia="黑体" w:cs="黑体"/>
          <w:color w:val="auto"/>
          <w:kern w:val="2"/>
          <w:sz w:val="32"/>
          <w:szCs w:val="32"/>
          <w:lang w:val="en-US" w:eastAsia="zh-CN" w:bidi="ar-SA"/>
        </w:rPr>
        <w:t>三、落实就业优先战略</w:t>
      </w:r>
    </w:p>
    <w:p w14:paraId="27E142B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（一）树立就业优先导向。</w:t>
      </w:r>
      <w:r>
        <w:rPr>
          <w:rFonts w:hint="eastAsia" w:ascii="仿宋_GB2312" w:hAnsi="仿宋_GB2312" w:eastAsia="仿宋_GB2312" w:cs="仿宋_GB2312"/>
          <w:color w:val="auto"/>
          <w:sz w:val="32"/>
          <w:szCs w:val="32"/>
          <w:highlight w:val="none"/>
          <w:lang w:val="en-US" w:eastAsia="zh-CN"/>
        </w:rPr>
        <w:t>坚持新发展理念，把高质量充分就业作为经济社会发展优先目标，纳入国民经济和社会发展规划。在重大政策制定、重大项目谋划、招商引资、重大生产力布局时，充分考虑促进就业的成效，将带动就业能力作为重要考核评估指标，优先发展和引进带动就业能力强的产业或项目。</w:t>
      </w:r>
    </w:p>
    <w:p w14:paraId="7DAB3C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kern w:val="2"/>
          <w:sz w:val="32"/>
          <w:szCs w:val="32"/>
          <w:lang w:val="en-US" w:eastAsia="zh-CN" w:bidi="ar-SA"/>
        </w:rPr>
        <w:t>（二）</w:t>
      </w:r>
      <w:r>
        <w:rPr>
          <w:rFonts w:hint="eastAsia" w:ascii="楷体_GB2312" w:hAnsi="楷体_GB2312" w:eastAsia="楷体_GB2312" w:cs="楷体_GB2312"/>
          <w:color w:val="auto"/>
          <w:sz w:val="32"/>
          <w:szCs w:val="32"/>
          <w:highlight w:val="none"/>
          <w:lang w:val="en-US" w:eastAsia="zh-CN"/>
        </w:rPr>
        <w:t>健全就业优先机制。</w:t>
      </w:r>
      <w:r>
        <w:rPr>
          <w:rFonts w:hint="eastAsia" w:ascii="仿宋_GB2312" w:hAnsi="仿宋_GB2312" w:eastAsia="仿宋_GB2312" w:cs="仿宋_GB2312"/>
          <w:color w:val="auto"/>
          <w:sz w:val="32"/>
          <w:szCs w:val="32"/>
          <w:highlight w:val="none"/>
          <w:lang w:val="en-US" w:eastAsia="zh-CN"/>
        </w:rPr>
        <w:t>健全“管行业必须管就业、管项目必须管就业、管招商必须管就业”的工作机制，强化重点项目、重大生产力布局的就业影响评估，健全事前、事中、事后全流程就业影响评估机制。结合我市实际，分行业、分地区细化评估标准，建立更加完善的就业评估影响机制。落实部门责任清单，</w:t>
      </w:r>
      <w:r>
        <w:rPr>
          <w:rFonts w:hint="eastAsia" w:ascii="仿宋_GB2312" w:hAnsi="仿宋_GB2312" w:eastAsia="仿宋_GB2312" w:cs="仿宋_GB2312"/>
          <w:sz w:val="32"/>
          <w:szCs w:val="32"/>
          <w:lang w:val="en-US" w:eastAsia="zh-CN"/>
        </w:rPr>
        <w:t>及时向人社部</w:t>
      </w:r>
      <w:r>
        <w:rPr>
          <w:rFonts w:hint="eastAsia" w:ascii="仿宋_GB2312" w:hAnsi="仿宋_GB2312" w:eastAsia="仿宋_GB2312" w:cs="仿宋_GB2312"/>
          <w:sz w:val="32"/>
          <w:szCs w:val="32"/>
          <w:highlight w:val="none"/>
          <w:lang w:val="en-US" w:eastAsia="zh-CN"/>
        </w:rPr>
        <w:t>门</w:t>
      </w:r>
      <w:r>
        <w:rPr>
          <w:rFonts w:hint="eastAsia" w:ascii="仿宋_GB2312" w:hAnsi="仿宋_GB2312" w:eastAsia="仿宋_GB2312" w:cs="仿宋_GB2312"/>
          <w:sz w:val="32"/>
          <w:szCs w:val="32"/>
          <w:highlight w:val="none"/>
        </w:rPr>
        <w:t>报送</w:t>
      </w:r>
      <w:r>
        <w:rPr>
          <w:rFonts w:hint="eastAsia" w:ascii="仿宋_GB2312" w:hAnsi="仿宋_GB2312" w:eastAsia="仿宋_GB2312" w:cs="仿宋_GB2312"/>
          <w:sz w:val="32"/>
          <w:szCs w:val="32"/>
          <w:highlight w:val="none"/>
          <w:lang w:val="en-US" w:eastAsia="zh-CN"/>
        </w:rPr>
        <w:t>项目用工岗位信息及工作进展</w:t>
      </w:r>
      <w:r>
        <w:rPr>
          <w:rFonts w:hint="eastAsia" w:ascii="仿宋_GB2312" w:hAnsi="仿宋_GB2312" w:eastAsia="仿宋_GB2312" w:cs="仿宋_GB2312"/>
          <w:color w:val="auto"/>
          <w:sz w:val="32"/>
          <w:szCs w:val="32"/>
          <w:highlight w:val="none"/>
          <w:lang w:val="en-US" w:eastAsia="zh-CN"/>
        </w:rPr>
        <w:t>。构建多部门协作的“大就业”工作格局。</w:t>
      </w:r>
    </w:p>
    <w:p w14:paraId="2C6164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（三）构建就业友好型社会环境。</w:t>
      </w:r>
      <w:r>
        <w:rPr>
          <w:rFonts w:hint="eastAsia" w:ascii="仿宋_GB2312" w:hAnsi="仿宋_GB2312" w:eastAsia="仿宋_GB2312" w:cs="仿宋_GB2312"/>
          <w:color w:val="auto"/>
          <w:sz w:val="32"/>
          <w:szCs w:val="32"/>
          <w:highlight w:val="none"/>
          <w:lang w:val="en-US" w:eastAsia="zh-CN"/>
        </w:rPr>
        <w:t>各行业部门立足职能，将就业友好理念融入行业管理与服务全过程。强化协同联动，统筹组织各类就业主题实践活动，推进就业服务阵地软硬件建设，着力营造包容普惠、支持就业创业的社会环境。积极争取、因地制宜开展高质量充分就业示范地区和单位创建，形成可复制可推广的实践成果和制度经验。</w:t>
      </w:r>
    </w:p>
    <w:p w14:paraId="32244FC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四、发挥产业带动就业的作用</w:t>
      </w:r>
    </w:p>
    <w:p w14:paraId="260264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kern w:val="2"/>
          <w:sz w:val="32"/>
          <w:szCs w:val="32"/>
          <w:lang w:val="en-US" w:eastAsia="zh-CN" w:bidi="ar-SA"/>
        </w:rPr>
        <w:t>（一）</w:t>
      </w:r>
      <w:r>
        <w:rPr>
          <w:rFonts w:hint="eastAsia" w:ascii="楷体_GB2312" w:hAnsi="楷体_GB2312" w:eastAsia="楷体_GB2312" w:cs="楷体_GB2312"/>
          <w:color w:val="auto"/>
          <w:sz w:val="32"/>
          <w:szCs w:val="32"/>
          <w:highlight w:val="none"/>
          <w:lang w:val="en-US" w:eastAsia="zh-CN"/>
        </w:rPr>
        <w:t>强化现代农牧业就业支持。</w:t>
      </w:r>
      <w:r>
        <w:rPr>
          <w:rFonts w:hint="eastAsia" w:ascii="仿宋_GB2312" w:hAnsi="仿宋_GB2312" w:eastAsia="仿宋_GB2312" w:cs="仿宋_GB2312"/>
          <w:color w:val="auto"/>
          <w:sz w:val="32"/>
          <w:szCs w:val="32"/>
          <w:highlight w:val="none"/>
          <w:lang w:val="en-US" w:eastAsia="zh-CN"/>
        </w:rPr>
        <w:t>立足市域农牧业资源，推动现代畜牧业标准化、规模化发展，依托敖汉小米等本地特色产业，延伸种养殖加工、分拣包装、仓储物流等产业链条，吸纳农牧民参与生产经营、基地管护、产品初加工等环节就业。</w:t>
      </w:r>
    </w:p>
    <w:p w14:paraId="31B42B1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000000" w:themeColor="text1"/>
          <w:sz w:val="32"/>
          <w:szCs w:val="32"/>
          <w:highlight w:val="none"/>
          <w:u w:val="none"/>
          <w:lang w:val="en-US" w:eastAsia="zh-CN"/>
          <w14:textFill>
            <w14:solidFill>
              <w14:schemeClr w14:val="tx1"/>
            </w14:solidFill>
          </w14:textFill>
        </w:rPr>
        <w:t>（二）巩固提升制造业就业容量。</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立足赤峰市冶金、能源、化工、食品、建材、机械、医药、纺织等主导产业优势，全方位夯实就业基本盘。紧扣全市新型工业化发展方向，抢抓绒毛纺织、农畜产品加工、建材等传统产业转型升级机遇，推动本地农牧民、转岗劳动力向产业工人转型。做强生物医药、新能源装备制造产业集群，持续增加技术型优质岗位供给。依托冶金、化工、机械等工业园区延伸产业链条，拓宽一线生产、设备运维、质量检验、技术研发等岗位空间。充分发挥龙头企业、专精特新企业就业吸纳作用，以产业扩容壮大就业载体。充分释放人工智能等新技术对就业的赋能扩容效应，积极推动人工智能深度融入各类工作场景，重塑岗位形态、优化作业模式，拓宽就业增长空间。</w:t>
      </w:r>
    </w:p>
    <w:p w14:paraId="16F0AE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（三）提高服务业吸纳就业水平。</w:t>
      </w:r>
      <w:r>
        <w:rPr>
          <w:rFonts w:hint="eastAsia" w:ascii="仿宋_GB2312" w:hAnsi="仿宋_GB2312" w:eastAsia="仿宋_GB2312" w:cs="仿宋_GB2312"/>
          <w:sz w:val="32"/>
          <w:szCs w:val="32"/>
        </w:rPr>
        <w:t>推动文旅体农商深度融合，打造复合型产业业态，拓宽农牧民就近就业渠道。促进生产性服务业向高端化、专业化升级，生活性服务业向品质化、多样化提质扩容，规范发展新型服务业。加快现代物流创新发展，强化金融服务实体经济能力，做大养老托幼、家政服务、文体康养等生活服务供给，丰富就业岗位供给，持续释放服务业就业承载潜力。</w:t>
      </w:r>
    </w:p>
    <w:p w14:paraId="4A4870D0">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楷体_GB2312" w:hAnsi="楷体_GB2312" w:eastAsia="楷体_GB2312" w:cs="楷体_GB2312"/>
          <w:b w:val="0"/>
          <w:bCs w:val="0"/>
          <w:color w:val="auto"/>
          <w:kern w:val="2"/>
          <w:sz w:val="32"/>
          <w:szCs w:val="32"/>
          <w:highlight w:val="none"/>
          <w:lang w:val="en-US" w:eastAsia="zh-CN" w:bidi="ar-SA"/>
        </w:rPr>
      </w:pPr>
      <w:r>
        <w:rPr>
          <w:rFonts w:hint="eastAsia" w:ascii="楷体_GB2312" w:hAnsi="楷体_GB2312" w:eastAsia="楷体_GB2312" w:cs="楷体_GB2312"/>
          <w:b w:val="0"/>
          <w:bCs w:val="0"/>
          <w:color w:val="auto"/>
          <w:kern w:val="2"/>
          <w:sz w:val="32"/>
          <w:szCs w:val="32"/>
          <w:highlight w:val="none"/>
          <w:lang w:val="en-US" w:eastAsia="zh-CN" w:bidi="ar-SA"/>
        </w:rPr>
        <w:t>（四）释放新业态和灵活就业等多元就业潜力。</w:t>
      </w:r>
      <w:r>
        <w:rPr>
          <w:rFonts w:hint="eastAsia" w:ascii="仿宋_GB2312" w:hAnsi="仿宋_GB2312" w:eastAsia="仿宋_GB2312" w:cs="仿宋_GB2312"/>
          <w:b w:val="0"/>
          <w:bCs w:val="0"/>
          <w:color w:val="auto"/>
          <w:sz w:val="32"/>
          <w:szCs w:val="32"/>
          <w:highlight w:val="none"/>
          <w:lang w:val="en-US" w:eastAsia="zh-CN"/>
        </w:rPr>
        <w:t>大力培育乡村旅游、农村电商等新业态，拓宽农牧民增收就业渠道。</w:t>
      </w:r>
    </w:p>
    <w:p w14:paraId="6DA419A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560" w:lineRule="exact"/>
        <w:jc w:val="both"/>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用好家门口就业服务站、零工市场、零工驿站等载体拓展灵活就业岗位对接渠道。扶持OPC（一人公司）超级个体创业成长，充分释放OPC微型经营模式的就业效能，发展新媒体内容创作、线上经营等微型经营模式，拓展项目合作、弹性兼职等用工场景。依托数字业态催生大量个体经营、灵活务工机会，丰富多元化就业路径，把新业态、微型个体经济打造成为本地就业增收的重要补充载体。</w:t>
      </w:r>
    </w:p>
    <w:p w14:paraId="439E49C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highlight w:val="none"/>
          <w:lang w:val="en-US" w:eastAsia="zh-CN"/>
        </w:rPr>
      </w:pPr>
      <w:r>
        <w:rPr>
          <w:rFonts w:hint="eastAsia" w:ascii="楷体_GB2312" w:hAnsi="楷体_GB2312" w:eastAsia="楷体_GB2312" w:cs="楷体_GB2312"/>
          <w:kern w:val="2"/>
          <w:sz w:val="32"/>
          <w:szCs w:val="32"/>
          <w:highlight w:val="none"/>
          <w:lang w:val="en-US" w:eastAsia="zh-CN" w:bidi="ar-SA"/>
        </w:rPr>
        <w:t>（五）</w:t>
      </w:r>
      <w:r>
        <w:rPr>
          <w:rFonts w:hint="eastAsia" w:ascii="楷体_GB2312" w:hAnsi="楷体_GB2312" w:eastAsia="楷体_GB2312" w:cs="楷体_GB2312"/>
          <w:sz w:val="32"/>
          <w:szCs w:val="32"/>
          <w:highlight w:val="none"/>
          <w:lang w:val="en-US" w:eastAsia="zh-CN"/>
        </w:rPr>
        <w:t>支持经营主体稳岗扩岗。</w:t>
      </w:r>
      <w:r>
        <w:rPr>
          <w:rFonts w:hint="eastAsia" w:ascii="仿宋_GB2312" w:hAnsi="仿宋_GB2312" w:eastAsia="仿宋_GB2312" w:cs="仿宋_GB2312"/>
          <w:color w:val="auto"/>
          <w:sz w:val="32"/>
          <w:szCs w:val="32"/>
          <w:highlight w:val="none"/>
          <w:lang w:val="en-US" w:eastAsia="zh-CN"/>
        </w:rPr>
        <w:t>发挥国有企业促就业引领作用，稳定国有企业招聘规模。完善中小微企业和个体工商户发展体系，加大对中小微企业和个体工商户融资支持力度。</w:t>
      </w:r>
      <w:r>
        <w:rPr>
          <w:rFonts w:hint="eastAsia" w:ascii="仿宋_GB2312" w:hAnsi="仿宋_GB2312" w:eastAsia="仿宋_GB2312" w:cs="仿宋_GB2312"/>
          <w:sz w:val="32"/>
          <w:szCs w:val="32"/>
          <w:highlight w:val="none"/>
          <w:lang w:val="en-US" w:eastAsia="zh-CN"/>
        </w:rPr>
        <w:t>持续优化各类经营主体公平竞争发展环境，全面落实产业培育、稳岗扩岗、创新激励、权益保护等援企支持政策，激发经营主体活力</w:t>
      </w:r>
    </w:p>
    <w:p w14:paraId="5FD200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kern w:val="2"/>
          <w:sz w:val="32"/>
          <w:szCs w:val="32"/>
          <w:lang w:val="en-US" w:eastAsia="zh-CN" w:bidi="ar-SA"/>
        </w:rPr>
        <w:t>（六）</w:t>
      </w:r>
      <w:r>
        <w:rPr>
          <w:rFonts w:hint="eastAsia" w:ascii="楷体_GB2312" w:hAnsi="楷体_GB2312" w:eastAsia="楷体_GB2312" w:cs="楷体_GB2312"/>
          <w:sz w:val="32"/>
          <w:szCs w:val="32"/>
          <w:lang w:val="en-US" w:eastAsia="zh-CN"/>
        </w:rPr>
        <w:t>畅通区域协调发展。</w:t>
      </w:r>
      <w:r>
        <w:rPr>
          <w:rFonts w:hint="default" w:ascii="仿宋_GB2312" w:hAnsi="仿宋_GB2312" w:eastAsia="仿宋_GB2312" w:cs="仿宋_GB2312"/>
          <w:sz w:val="32"/>
          <w:szCs w:val="32"/>
          <w:lang w:val="en-US" w:eastAsia="zh-CN"/>
        </w:rPr>
        <w:t>积极融入京津冀协同发展，</w:t>
      </w:r>
      <w:r>
        <w:rPr>
          <w:rFonts w:hint="eastAsia" w:ascii="仿宋_GB2312" w:hAnsi="仿宋_GB2312" w:eastAsia="仿宋_GB2312" w:cs="仿宋_GB2312"/>
          <w:color w:val="auto"/>
          <w:spacing w:val="0"/>
          <w:sz w:val="32"/>
          <w:szCs w:val="32"/>
          <w:highlight w:val="none"/>
          <w:lang w:val="en-US" w:eastAsia="zh-CN"/>
        </w:rPr>
        <w:t>深化京蒙劳务协作，持续打造京东家政就业培训品牌，筹备京东职业技能培训学校，将赤峰市打造成为京东家政乃至京东集团面向蒙东、辐射东北的区域性培训就业中心。聚</w:t>
      </w:r>
      <w:r>
        <w:rPr>
          <w:rFonts w:hint="eastAsia" w:ascii="仿宋_GB2312" w:hAnsi="仿宋_GB2312" w:eastAsia="仿宋_GB2312" w:cs="仿宋_GB2312"/>
          <w:sz w:val="32"/>
          <w:szCs w:val="32"/>
          <w:highlight w:val="none"/>
          <w:lang w:val="en-US" w:eastAsia="zh-CN"/>
        </w:rPr>
        <w:t>焦我市特色产业，加快形成一批服务融通、政策贯通、渠道畅通的就业集聚区和增长极，积极协调区内东西部协作，促进区域间就业均衡发展。</w:t>
      </w:r>
    </w:p>
    <w:p w14:paraId="2469623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五、构建人才成长体系</w:t>
      </w:r>
    </w:p>
    <w:p w14:paraId="6F23F86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sz w:val="32"/>
          <w:szCs w:val="32"/>
          <w:lang w:val="en-US" w:eastAsia="zh-CN"/>
        </w:rPr>
        <w:t>（一）促进人才培养与市场需求的有效衔接。</w:t>
      </w:r>
      <w:r>
        <w:rPr>
          <w:rFonts w:hint="eastAsia" w:ascii="仿宋_GB2312" w:hAnsi="仿宋_GB2312" w:eastAsia="仿宋_GB2312" w:cs="仿宋_GB2312"/>
          <w:color w:val="auto"/>
          <w:sz w:val="32"/>
          <w:szCs w:val="32"/>
          <w:highlight w:val="none"/>
          <w:lang w:val="en-US" w:eastAsia="zh-CN"/>
        </w:rPr>
        <w:t>聚焦全市产业发展规划，定期发布全市人才发展需求报告和人才需求目录。依托我市锂基、铝基、冶金、化工、氢能五条</w:t>
      </w:r>
      <w:r>
        <w:rPr>
          <w:rFonts w:hint="default" w:ascii="仿宋_GB2312" w:hAnsi="仿宋_GB2312" w:eastAsia="仿宋_GB2312" w:cs="仿宋_GB2312"/>
          <w:color w:val="auto"/>
          <w:sz w:val="32"/>
          <w:szCs w:val="32"/>
          <w:highlight w:val="none"/>
          <w:lang w:val="en-US" w:eastAsia="zh-CN"/>
        </w:rPr>
        <w:t>千亿级产业链和新能源、新材料两大产业</w:t>
      </w:r>
      <w:r>
        <w:rPr>
          <w:rFonts w:hint="eastAsia" w:ascii="仿宋_GB2312" w:hAnsi="仿宋_GB2312" w:eastAsia="仿宋_GB2312" w:cs="仿宋_GB2312"/>
          <w:color w:val="auto"/>
          <w:sz w:val="32"/>
          <w:szCs w:val="32"/>
          <w:highlight w:val="none"/>
          <w:lang w:val="en-US" w:eastAsia="zh-CN"/>
        </w:rPr>
        <w:t>集群，推动职业院校设置与产业发展相匹配的学科，打造特色优势学科，实现职业院校与产业发展高度融合，为产业发展培育高质量技能人才。健全招生、培养和就业联动机制，将就业情况纳入专业设置重要考核指标，相应核减办学资源配置、减少招生计划安排。加快发展现代职业教育，围绕重点产业组建行业产教融合体，推行工学一体化和新型学徒制培训，实现人才培养与岗位需求精准对接。</w:t>
      </w:r>
    </w:p>
    <w:p w14:paraId="1FEA81E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sz w:val="32"/>
          <w:szCs w:val="32"/>
          <w:lang w:val="en-US" w:eastAsia="zh-CN"/>
        </w:rPr>
        <w:t>（二）贯通技能人才终身培养制度。</w:t>
      </w:r>
      <w:r>
        <w:rPr>
          <w:rFonts w:hint="eastAsia" w:ascii="仿宋_GB2312" w:hAnsi="仿宋_GB2312" w:eastAsia="仿宋_GB2312" w:cs="仿宋_GB2312"/>
          <w:color w:val="auto"/>
          <w:sz w:val="32"/>
          <w:szCs w:val="32"/>
          <w:highlight w:val="none"/>
          <w:lang w:val="en-US" w:eastAsia="zh-CN"/>
        </w:rPr>
        <w:t>健全覆盖全体劳动者、贯穿职业生涯全周期的终身职业技能培训体系，从源头破解“有人没活干、有活没人干”的结构性就业矛盾。以深入实施“技能照亮前程”培训行动为主线，全面推行“岗位需求+技能培训+技能评价+就业服务”四位一体项目化培训模式。</w:t>
      </w:r>
      <w:r>
        <w:rPr>
          <w:rFonts w:hint="eastAsia" w:ascii="仿宋_GB2312" w:hAnsi="仿宋_GB2312" w:eastAsia="仿宋_GB2312" w:cs="仿宋_GB2312"/>
          <w:strike w:val="0"/>
          <w:dstrike w:val="0"/>
          <w:color w:val="auto"/>
          <w:sz w:val="32"/>
          <w:szCs w:val="32"/>
          <w:highlight w:val="none"/>
          <w:lang w:val="en-US" w:eastAsia="zh-CN"/>
        </w:rPr>
        <w:t>充分发挥职业技能培训课程包的作用，实现技能培训普惠性。建设专业化师资队伍，</w:t>
      </w:r>
      <w:r>
        <w:rPr>
          <w:rFonts w:hint="eastAsia" w:ascii="仿宋_GB2312" w:hAnsi="仿宋_GB2312" w:eastAsia="仿宋_GB2312" w:cs="仿宋_GB2312"/>
          <w:color w:val="auto"/>
          <w:sz w:val="32"/>
          <w:szCs w:val="32"/>
          <w:highlight w:val="none"/>
          <w:lang w:val="en-US" w:eastAsia="zh-CN"/>
        </w:rPr>
        <w:t>完善以就业为导向的培训服务链条，全面提升培训的针对性与实效性。严格落实企业职工教育经费管理制度，督促企业足额提取、规范使用职工教育经费，确保60%以上经费用于一线员工培训，支持企业统筹使用经费举办所属职业学校（含技工院校）。</w:t>
      </w:r>
    </w:p>
    <w:p w14:paraId="63DBF8D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sz w:val="32"/>
          <w:szCs w:val="32"/>
          <w:lang w:val="en-US" w:eastAsia="zh-CN"/>
        </w:rPr>
        <w:t>（三）畅通技能人才发展通道。</w:t>
      </w:r>
      <w:r>
        <w:rPr>
          <w:rFonts w:hint="eastAsia" w:ascii="仿宋_GB2312" w:hAnsi="仿宋_GB2312" w:eastAsia="仿宋_GB2312" w:cs="仿宋_GB2312"/>
          <w:color w:val="auto"/>
          <w:sz w:val="32"/>
          <w:szCs w:val="32"/>
          <w:highlight w:val="none"/>
          <w:lang w:val="en-US" w:eastAsia="zh-CN"/>
        </w:rPr>
        <w:t>深化我市技能人才评价制度改革，完善职业资格评价、职业技能等级认定和专项职业能力考核相结合的多元化评价体系。全面推行“新八级工”制度，支持企业自主开展技能人才评价及特级技师、首席技师评聘，建立与薪酬待遇挂钩的激励机制；深入实施职业院校学生“学历证书+技能等级证书”双证书行动，规范社会评价组织服务，落实职业资格与职称、学历比照认定及高技能人才与专业技术人才职业发展贯通政策，积极培育地方特色新职业及专项能力项目。以职业技能大赛为引领，充分发挥各行业部门、企业、院校主体作用，加大人才选拔与宣传力度，落实表彰奖励政策。</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5C69D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109B82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sz w:val="32"/>
                <w:szCs w:val="32"/>
                <w:vertAlign w:val="baseline"/>
                <w:lang w:val="en-US" w:eastAsia="zh-CN"/>
              </w:rPr>
            </w:pPr>
            <w:r>
              <w:rPr>
                <w:rFonts w:hint="eastAsia" w:ascii="黑体" w:hAnsi="黑体" w:eastAsia="黑体" w:cs="黑体"/>
                <w:sz w:val="32"/>
                <w:szCs w:val="32"/>
                <w:highlight w:val="none"/>
                <w:vertAlign w:val="baseline"/>
                <w:lang w:val="en-US" w:eastAsia="zh-CN"/>
              </w:rPr>
              <w:t>专栏3 实施“</w:t>
            </w:r>
            <w:r>
              <w:rPr>
                <w:rFonts w:hint="eastAsia" w:ascii="黑体" w:hAnsi="黑体" w:eastAsia="黑体" w:cs="黑体"/>
                <w:sz w:val="32"/>
                <w:szCs w:val="32"/>
                <w:vertAlign w:val="baseline"/>
                <w:lang w:val="en-US" w:eastAsia="zh-CN"/>
              </w:rPr>
              <w:t>技能赤峰”行动</w:t>
            </w:r>
          </w:p>
        </w:tc>
      </w:tr>
      <w:tr w14:paraId="14060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36022D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highlight w:val="none"/>
                <w:lang w:val="en-US" w:eastAsia="zh-CN"/>
              </w:rPr>
            </w:pPr>
            <w:r>
              <w:rPr>
                <w:rFonts w:hint="eastAsia" w:ascii="楷体_GB2312" w:hAnsi="楷体_GB2312" w:eastAsia="楷体_GB2312" w:cs="楷体_GB2312"/>
                <w:color w:val="auto"/>
                <w:sz w:val="32"/>
                <w:highlight w:val="none"/>
                <w:lang w:val="en-US" w:eastAsia="zh-CN"/>
              </w:rPr>
              <w:t>1.大规模开展职业培训。</w:t>
            </w:r>
            <w:r>
              <w:rPr>
                <w:rFonts w:hint="eastAsia" w:ascii="仿宋_GB2312" w:hAnsi="仿宋_GB2312" w:eastAsia="仿宋_GB2312" w:cs="仿宋_GB2312"/>
                <w:color w:val="auto"/>
                <w:sz w:val="32"/>
                <w:szCs w:val="32"/>
                <w:highlight w:val="none"/>
                <w:lang w:eastAsia="zh-CN"/>
              </w:rPr>
              <w:t>以落实“技能照亮前程”培训行动为主线，全面推行“岗位需求+技能培训+技能评价+就业服务”四位一体的项目化培训模式，推动培训资源与产业需求精准对接。围绕地方产业需求，加强紧缺工种培训，推进战略性新兴产业、先进制造业、现代服务业及特色支柱产业技能人才培养。</w:t>
            </w:r>
            <w:r>
              <w:rPr>
                <w:rFonts w:hint="eastAsia" w:ascii="仿宋_GB2312" w:hAnsi="仿宋_GB2312" w:eastAsia="仿宋_GB2312" w:cs="仿宋_GB2312"/>
                <w:color w:val="auto"/>
                <w:sz w:val="32"/>
                <w:highlight w:val="none"/>
              </w:rPr>
              <w:t>到2030年，开展</w:t>
            </w:r>
            <w:r>
              <w:rPr>
                <w:rFonts w:hint="eastAsia" w:ascii="仿宋_GB2312" w:hAnsi="仿宋_GB2312" w:eastAsia="仿宋_GB2312" w:cs="仿宋_GB2312"/>
                <w:color w:val="auto"/>
                <w:sz w:val="32"/>
                <w:highlight w:val="none"/>
                <w:lang w:val="en-US" w:eastAsia="zh-CN"/>
              </w:rPr>
              <w:t>各类</w:t>
            </w:r>
            <w:r>
              <w:rPr>
                <w:rFonts w:hint="eastAsia" w:ascii="仿宋_GB2312" w:hAnsi="仿宋_GB2312" w:eastAsia="仿宋_GB2312" w:cs="仿宋_GB2312"/>
                <w:color w:val="auto"/>
                <w:sz w:val="32"/>
                <w:highlight w:val="none"/>
              </w:rPr>
              <w:t>补贴性职业技能培训7.5万人次</w:t>
            </w:r>
            <w:r>
              <w:rPr>
                <w:rFonts w:hint="eastAsia" w:ascii="仿宋_GB2312" w:hAnsi="仿宋_GB2312" w:eastAsia="仿宋_GB2312" w:cs="仿宋_GB2312"/>
                <w:color w:val="auto"/>
                <w:sz w:val="32"/>
                <w:highlight w:val="none"/>
                <w:lang w:val="en-US" w:eastAsia="zh-CN"/>
              </w:rPr>
              <w:t>以上</w:t>
            </w:r>
            <w:r>
              <w:rPr>
                <w:rFonts w:hint="eastAsia" w:ascii="仿宋_GB2312" w:hAnsi="仿宋_GB2312" w:eastAsia="仿宋_GB2312" w:cs="仿宋_GB2312"/>
                <w:color w:val="auto"/>
                <w:sz w:val="32"/>
                <w:highlight w:val="none"/>
              </w:rPr>
              <w:t>。</w:t>
            </w:r>
          </w:p>
          <w:p w14:paraId="4A086F2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highlight w:val="none"/>
                <w:lang w:val="en-US" w:eastAsia="zh-CN"/>
              </w:rPr>
            </w:pPr>
            <w:r>
              <w:rPr>
                <w:rFonts w:hint="eastAsia" w:ascii="楷体_GB2312" w:hAnsi="楷体_GB2312" w:eastAsia="楷体_GB2312" w:cs="楷体_GB2312"/>
                <w:color w:val="auto"/>
                <w:sz w:val="32"/>
                <w:highlight w:val="none"/>
                <w:lang w:val="en-US" w:eastAsia="zh-CN"/>
              </w:rPr>
              <w:t>2.组建技工教育联盟。</w:t>
            </w:r>
            <w:r>
              <w:rPr>
                <w:rFonts w:hint="eastAsia" w:ascii="仿宋_GB2312" w:hAnsi="仿宋_GB2312" w:eastAsia="仿宋_GB2312" w:cs="仿宋_GB2312"/>
                <w:sz w:val="32"/>
                <w:szCs w:val="32"/>
                <w:highlight w:val="none"/>
              </w:rPr>
              <w:t>围绕产业链布局技能人才链，深化政校企研协同合作，组建蒙东技工教育联盟，</w:t>
            </w:r>
            <w:r>
              <w:rPr>
                <w:rFonts w:hint="eastAsia" w:ascii="仿宋_GB2312" w:hAnsi="仿宋_GB2312" w:eastAsia="仿宋_GB2312" w:cs="仿宋_GB2312"/>
                <w:sz w:val="32"/>
                <w:szCs w:val="32"/>
                <w:highlight w:val="none"/>
                <w:lang w:eastAsia="zh-CN"/>
              </w:rPr>
              <w:t>持续</w:t>
            </w:r>
            <w:r>
              <w:rPr>
                <w:rFonts w:hint="eastAsia" w:ascii="仿宋_GB2312" w:hAnsi="仿宋_GB2312" w:eastAsia="仿宋_GB2312" w:cs="仿宋_GB2312"/>
                <w:sz w:val="32"/>
                <w:szCs w:val="32"/>
                <w:highlight w:val="none"/>
              </w:rPr>
              <w:t>开发覆盖智能制造、化工、信息技术等重点领域</w:t>
            </w:r>
            <w:r>
              <w:rPr>
                <w:rFonts w:hint="eastAsia" w:ascii="仿宋_GB2312" w:hAnsi="仿宋_GB2312" w:eastAsia="仿宋_GB2312" w:cs="仿宋_GB2312"/>
                <w:sz w:val="32"/>
                <w:szCs w:val="32"/>
                <w:highlight w:val="none"/>
                <w:lang w:eastAsia="zh-CN"/>
              </w:rPr>
              <w:t>的</w:t>
            </w:r>
            <w:r>
              <w:rPr>
                <w:rFonts w:hint="eastAsia" w:ascii="仿宋_GB2312" w:hAnsi="仿宋_GB2312" w:eastAsia="仿宋_GB2312" w:cs="仿宋_GB2312"/>
                <w:sz w:val="32"/>
                <w:szCs w:val="32"/>
                <w:highlight w:val="none"/>
              </w:rPr>
              <w:t>工学一体化精品课程</w:t>
            </w:r>
            <w:r>
              <w:rPr>
                <w:rFonts w:hint="eastAsia" w:ascii="仿宋_GB2312" w:hAnsi="仿宋_GB2312" w:eastAsia="仿宋_GB2312" w:cs="仿宋_GB2312"/>
                <w:sz w:val="32"/>
                <w:szCs w:val="32"/>
                <w:highlight w:val="none"/>
                <w:lang w:eastAsia="zh-CN"/>
              </w:rPr>
              <w:t>。</w:t>
            </w:r>
          </w:p>
          <w:p w14:paraId="337C9D0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highlight w:val="none"/>
                <w:lang w:val="en-US" w:eastAsia="zh-CN"/>
              </w:rPr>
            </w:pPr>
            <w:r>
              <w:rPr>
                <w:rFonts w:hint="eastAsia" w:ascii="楷体_GB2312" w:hAnsi="楷体_GB2312" w:eastAsia="楷体_GB2312" w:cs="楷体_GB2312"/>
                <w:color w:val="auto"/>
                <w:sz w:val="32"/>
                <w:highlight w:val="none"/>
                <w:lang w:val="en-US" w:eastAsia="zh-CN"/>
              </w:rPr>
              <w:t>3.建设企业培训中心。</w:t>
            </w:r>
            <w:r>
              <w:rPr>
                <w:rFonts w:hint="eastAsia" w:ascii="仿宋_GB2312" w:hAnsi="仿宋_GB2312" w:eastAsia="仿宋_GB2312" w:cs="仿宋_GB2312"/>
                <w:sz w:val="32"/>
                <w:szCs w:val="32"/>
                <w:highlight w:val="none"/>
              </w:rPr>
              <w:t>遴选</w:t>
            </w:r>
            <w:r>
              <w:rPr>
                <w:rFonts w:hint="eastAsia" w:ascii="仿宋_GB2312" w:hAnsi="仿宋_GB2312" w:eastAsia="仿宋_GB2312" w:cs="仿宋_GB2312"/>
                <w:sz w:val="32"/>
                <w:szCs w:val="32"/>
                <w:highlight w:val="none"/>
                <w:lang w:eastAsia="zh-CN"/>
              </w:rPr>
              <w:t>行业龙头企业</w:t>
            </w:r>
            <w:r>
              <w:rPr>
                <w:rFonts w:hint="eastAsia" w:ascii="仿宋_GB2312" w:hAnsi="仿宋_GB2312" w:eastAsia="仿宋_GB2312" w:cs="仿宋_GB2312"/>
                <w:sz w:val="32"/>
                <w:szCs w:val="32"/>
                <w:highlight w:val="none"/>
              </w:rPr>
              <w:t>挂牌企业内部培训中心，享受补贴性培训机构同等政策，推动企业自主开展职工技能提升培训，</w:t>
            </w:r>
            <w:r>
              <w:rPr>
                <w:rFonts w:hint="eastAsia" w:ascii="仿宋_GB2312" w:hAnsi="仿宋_GB2312" w:eastAsia="仿宋_GB2312" w:cs="仿宋_GB2312"/>
                <w:sz w:val="32"/>
                <w:szCs w:val="32"/>
                <w:highlight w:val="none"/>
                <w:lang w:eastAsia="zh-CN"/>
              </w:rPr>
              <w:t>加大企业培训中心对产业工人的培训力度。</w:t>
            </w:r>
          </w:p>
        </w:tc>
      </w:tr>
    </w:tbl>
    <w:p w14:paraId="1BD9C43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六、全力稳定重点群体就业形态</w:t>
      </w:r>
    </w:p>
    <w:p w14:paraId="6DE19E6B">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eastAsia="仿宋_GB2312" w:cs="仿宋_GB2312"/>
          <w:strike/>
          <w:dstrike w:val="0"/>
          <w:sz w:val="32"/>
          <w:szCs w:val="32"/>
          <w:highlight w:val="yellow"/>
          <w:lang w:val="en-US" w:eastAsia="zh-CN"/>
        </w:rPr>
      </w:pPr>
      <w:r>
        <w:rPr>
          <w:rFonts w:hint="eastAsia" w:ascii="楷体_GB2312" w:hAnsi="楷体_GB2312" w:eastAsia="楷体_GB2312" w:cs="楷体_GB2312"/>
          <w:sz w:val="32"/>
          <w:szCs w:val="32"/>
          <w:lang w:val="en-US" w:eastAsia="zh-CN"/>
        </w:rPr>
        <w:t>（一）扩展高校毕业生就业渠道。</w:t>
      </w:r>
      <w:r>
        <w:rPr>
          <w:rFonts w:hint="eastAsia" w:ascii="仿宋_GB2312" w:hAnsi="仿宋_GB2312" w:eastAsia="仿宋_GB2312" w:cs="仿宋_GB2312"/>
          <w:sz w:val="32"/>
          <w:szCs w:val="32"/>
          <w:highlight w:val="none"/>
          <w:lang w:val="en-US" w:eastAsia="zh-CN"/>
        </w:rPr>
        <w:t>依托赤峰市重大战略布局，以现代产业体系建设、数字经济发展等为抓手，创造更多适合高校毕业生等青年群体的知识性、技术性就业岗位。稳定机关、事业单位招聘规模，</w:t>
      </w:r>
      <w:r>
        <w:rPr>
          <w:rFonts w:hint="eastAsia" w:ascii="仿宋_GB2312" w:hAnsi="仿宋_GB2312" w:eastAsia="仿宋_GB2312" w:cs="仿宋_GB2312"/>
          <w:strike w:val="0"/>
          <w:dstrike w:val="0"/>
          <w:sz w:val="32"/>
          <w:szCs w:val="32"/>
          <w:highlight w:val="none"/>
          <w:lang w:val="en-US" w:eastAsia="zh-CN"/>
        </w:rPr>
        <w:t>加大国有企业空缺岗位面向高校毕业生招聘比例不低于50%。</w:t>
      </w:r>
      <w:r>
        <w:rPr>
          <w:rFonts w:hint="eastAsia" w:ascii="仿宋_GB2312" w:hAnsi="仿宋_GB2312" w:eastAsia="仿宋_GB2312" w:cs="仿宋_GB2312"/>
          <w:sz w:val="32"/>
          <w:szCs w:val="32"/>
          <w:highlight w:val="none"/>
          <w:lang w:val="en-US" w:eastAsia="zh-CN"/>
        </w:rPr>
        <w:t>继续实施基层服务项目，加大政府购买公共管理和社会服务岗位力度，鼓励引导高校毕业生到基层就业。</w:t>
      </w:r>
      <w:r>
        <w:rPr>
          <w:rFonts w:hint="eastAsia" w:ascii="仿宋_GB2312" w:hAnsi="仿宋_GB2312" w:eastAsia="仿宋_GB2312" w:cs="仿宋_GB2312"/>
          <w:b w:val="0"/>
          <w:bCs w:val="0"/>
          <w:color w:val="auto"/>
          <w:kern w:val="0"/>
          <w:sz w:val="32"/>
          <w:szCs w:val="32"/>
          <w:highlight w:val="none"/>
          <w:lang w:val="en-US" w:eastAsia="zh-CN" w:bidi="ar"/>
        </w:rPr>
        <w:t>持续实施</w:t>
      </w:r>
      <w:r>
        <w:rPr>
          <w:rFonts w:hint="eastAsia" w:ascii="仿宋_GB2312" w:hAnsi="仿宋_GB2312" w:eastAsia="仿宋_GB2312" w:cs="仿宋_GB2312"/>
          <w:color w:val="auto"/>
          <w:sz w:val="32"/>
          <w:szCs w:val="32"/>
          <w:highlight w:val="none"/>
          <w:lang w:val="en-US" w:eastAsia="zh-CN"/>
        </w:rPr>
        <w:t>《赤峰市推进人才强市的若干措施》，真正做到</w:t>
      </w:r>
      <w:r>
        <w:rPr>
          <w:rFonts w:hint="eastAsia" w:ascii="仿宋_GB2312" w:hAnsi="仿宋_GB2312" w:eastAsia="仿宋_GB2312" w:cs="仿宋_GB2312"/>
          <w:b w:val="0"/>
          <w:bCs w:val="0"/>
          <w:color w:val="auto"/>
          <w:kern w:val="0"/>
          <w:sz w:val="32"/>
          <w:szCs w:val="32"/>
          <w:highlight w:val="none"/>
          <w:lang w:val="en-US" w:eastAsia="zh-CN" w:bidi="ar"/>
        </w:rPr>
        <w:t>精准引才、系统育才、科学用才、用心留才。</w:t>
      </w:r>
      <w:r>
        <w:rPr>
          <w:rFonts w:hint="eastAsia" w:ascii="仿宋_GB2312" w:hAnsi="仿宋_GB2312" w:eastAsia="仿宋_GB2312" w:cs="仿宋_GB2312"/>
          <w:color w:val="auto"/>
          <w:sz w:val="32"/>
          <w:szCs w:val="32"/>
          <w:highlight w:val="none"/>
          <w:lang w:val="en-US" w:eastAsia="zh-CN"/>
        </w:rPr>
        <w:t>对离校未就业高校毕业生开展“1131”就业服务，健全困难高校毕业生就业援助机制。</w:t>
      </w:r>
      <w:r>
        <w:rPr>
          <w:rFonts w:hint="eastAsia" w:ascii="仿宋_GB2312" w:hAnsi="仿宋_GB2312" w:eastAsia="仿宋_GB2312" w:cs="仿宋_GB2312"/>
          <w:sz w:val="32"/>
          <w:szCs w:val="32"/>
          <w:highlight w:val="none"/>
          <w:lang w:val="en-US" w:eastAsia="zh-CN"/>
        </w:rPr>
        <w:t>强化就业创业政策措施和资金保障，支持高校毕业生等青年群体参加实习见习和技能培训。强化择业和用人观念引导。</w:t>
      </w:r>
      <w:r>
        <w:rPr>
          <w:rFonts w:hint="eastAsia" w:ascii="仿宋_GB2312" w:hAnsi="仿宋_GB2312" w:eastAsia="仿宋_GB2312" w:cs="仿宋_GB2312"/>
          <w:sz w:val="32"/>
          <w:szCs w:val="32"/>
          <w:highlight w:val="none"/>
          <w:lang w:eastAsia="zh-CN"/>
        </w:rPr>
        <w:t>开展就业观念宣讲活动，推动职业生涯教育前移，纳入高校课程设置范围，引导青年形成动态发展的职业意识。加强青年就业政策宣传解读，提高政策知晓度和覆盖面。</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3C00F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528904E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vertAlign w:val="baseline"/>
                <w:lang w:val="en-US" w:eastAsia="zh-CN"/>
              </w:rPr>
            </w:pPr>
            <w:r>
              <w:rPr>
                <w:rFonts w:hint="eastAsia" w:ascii="黑体" w:hAnsi="黑体" w:eastAsia="黑体" w:cs="黑体"/>
                <w:color w:val="auto"/>
                <w:sz w:val="32"/>
                <w:szCs w:val="32"/>
                <w:lang w:eastAsia="zh-CN"/>
              </w:rPr>
              <w:t>专栏</w:t>
            </w:r>
            <w:r>
              <w:rPr>
                <w:rFonts w:hint="eastAsia" w:ascii="黑体" w:hAnsi="黑体" w:eastAsia="黑体" w:cs="黑体"/>
                <w:color w:val="auto"/>
                <w:sz w:val="32"/>
                <w:szCs w:val="32"/>
                <w:lang w:val="en-US" w:eastAsia="zh-CN"/>
              </w:rPr>
              <w:t xml:space="preserve">4 </w:t>
            </w:r>
            <w:r>
              <w:rPr>
                <w:rFonts w:hint="eastAsia" w:ascii="黑体" w:hAnsi="黑体" w:eastAsia="黑体" w:cs="黑体"/>
                <w:color w:val="auto"/>
                <w:sz w:val="32"/>
                <w:szCs w:val="32"/>
                <w:lang w:eastAsia="zh-CN"/>
              </w:rPr>
              <w:t>高校毕业生等青年就业支持计划</w:t>
            </w:r>
          </w:p>
        </w:tc>
      </w:tr>
      <w:tr w14:paraId="12D52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1CB123D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1.建设高校毕业生留赤服务站。</w:t>
            </w:r>
            <w:r>
              <w:rPr>
                <w:rFonts w:hint="eastAsia" w:ascii="仿宋_GB2312" w:hAnsi="仿宋_GB2312" w:eastAsia="仿宋_GB2312" w:cs="仿宋_GB2312"/>
                <w:color w:val="auto"/>
                <w:sz w:val="32"/>
                <w:szCs w:val="32"/>
                <w:highlight w:val="none"/>
                <w:shd w:val="clear"/>
                <w:lang w:val="en-US" w:eastAsia="zh-CN"/>
              </w:rPr>
              <w:t>培育“就在赤峰”就业服务品牌，建设高校毕业生留赤服务站，</w:t>
            </w:r>
            <w:r>
              <w:rPr>
                <w:rFonts w:hint="eastAsia" w:ascii="仿宋_GB2312" w:hAnsi="仿宋_GB2312" w:eastAsia="仿宋_GB2312" w:cs="仿宋_GB2312"/>
                <w:color w:val="auto"/>
                <w:sz w:val="32"/>
                <w:szCs w:val="32"/>
                <w:highlight w:val="none"/>
                <w:lang w:val="en-US" w:eastAsia="zh-CN"/>
              </w:rPr>
              <w:t>将高校学生职业发展与就业指导课程贯穿整个人才培养体系，实现</w:t>
            </w:r>
            <w:r>
              <w:rPr>
                <w:rFonts w:hint="eastAsia" w:ascii="仿宋_GB2312" w:hAnsi="仿宋_GB2312" w:eastAsia="仿宋_GB2312" w:cs="仿宋_GB2312"/>
                <w:color w:val="auto"/>
                <w:sz w:val="32"/>
                <w:szCs w:val="32"/>
                <w:highlight w:val="none"/>
                <w:shd w:val="clear"/>
                <w:lang w:val="en-US" w:eastAsia="zh-CN"/>
              </w:rPr>
              <w:t>大学生留赤就业创业服务直送校园。</w:t>
            </w:r>
          </w:p>
          <w:p w14:paraId="48EBF02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shd w:val="clear"/>
                <w:lang w:val="en-US" w:eastAsia="zh-CN"/>
              </w:rPr>
              <w:t>2.离校未就业高校毕业生就业服务攻坚行动。</w:t>
            </w:r>
            <w:r>
              <w:rPr>
                <w:rFonts w:hint="eastAsia" w:ascii="仿宋_GB2312" w:hAnsi="仿宋_GB2312" w:eastAsia="仿宋_GB2312" w:cs="仿宋_GB2312"/>
                <w:color w:val="auto"/>
                <w:sz w:val="32"/>
                <w:szCs w:val="32"/>
                <w:highlight w:val="none"/>
                <w:shd w:val="clear"/>
                <w:lang w:val="en-US" w:eastAsia="zh-CN"/>
              </w:rPr>
              <w:t>普遍为离校未就业高校毕业生提供1次政策宣介、1次职业指导、3次岗位推荐、1次培训或见习机会，帮助其尽早就业。</w:t>
            </w:r>
          </w:p>
          <w:p w14:paraId="33A10B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shd w:val="clear"/>
                <w:lang w:val="en-US" w:eastAsia="zh-CN"/>
              </w:rPr>
            </w:pPr>
            <w:r>
              <w:rPr>
                <w:rFonts w:hint="eastAsia" w:ascii="楷体_GB2312" w:hAnsi="楷体_GB2312" w:eastAsia="楷体_GB2312" w:cs="楷体_GB2312"/>
                <w:color w:val="auto"/>
                <w:sz w:val="32"/>
                <w:szCs w:val="32"/>
                <w:highlight w:val="none"/>
                <w:shd w:val="clear"/>
                <w:lang w:val="en-US" w:eastAsia="zh-CN"/>
              </w:rPr>
              <w:t>3.打造就业创业服务品牌。</w:t>
            </w:r>
            <w:r>
              <w:rPr>
                <w:rFonts w:hint="eastAsia" w:ascii="仿宋_GB2312" w:hAnsi="仿宋_GB2312" w:eastAsia="仿宋_GB2312" w:cs="仿宋_GB2312"/>
                <w:color w:val="auto"/>
                <w:sz w:val="32"/>
                <w:szCs w:val="32"/>
                <w:highlight w:val="none"/>
                <w:shd w:val="clear"/>
                <w:lang w:val="en-US" w:eastAsia="zh-CN"/>
              </w:rPr>
              <w:t>迭代优化本地创业培训项目，坚持理论教学与实操实训深度融合，常态化开展“活力赤峰”就业创业活动等各类创新创业赛事，健全完善创业能力培育、供需双向对接、创业跟踪陪跑的全链条创业服务体系，持续吸引广大青年人才来赤就业创业、扎根发展。</w:t>
            </w:r>
          </w:p>
          <w:p w14:paraId="458DD0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shd w:val="clear"/>
                <w:lang w:val="en-US" w:eastAsia="zh-CN"/>
              </w:rPr>
            </w:pPr>
            <w:r>
              <w:rPr>
                <w:rFonts w:hint="eastAsia" w:ascii="楷体_GB2312" w:hAnsi="楷体_GB2312" w:eastAsia="楷体_GB2312" w:cs="楷体_GB2312"/>
                <w:color w:val="auto"/>
                <w:sz w:val="32"/>
                <w:szCs w:val="32"/>
                <w:highlight w:val="none"/>
                <w:shd w:val="clear"/>
                <w:lang w:val="en-US" w:eastAsia="zh-CN"/>
              </w:rPr>
              <w:t>4.优化青年人留赤环境。</w:t>
            </w:r>
            <w:r>
              <w:rPr>
                <w:rFonts w:hint="eastAsia" w:ascii="仿宋_GB2312" w:hAnsi="仿宋_GB2312" w:eastAsia="仿宋_GB2312" w:cs="仿宋_GB2312"/>
                <w:sz w:val="32"/>
                <w:szCs w:val="32"/>
              </w:rPr>
              <w:t>落实青年人才住房、医疗等服务保障，完善</w:t>
            </w:r>
            <w:r>
              <w:rPr>
                <w:rFonts w:hint="eastAsia" w:ascii="仿宋_GB2312" w:hAnsi="仿宋_GB2312" w:eastAsia="仿宋_GB2312" w:cs="仿宋_GB2312"/>
                <w:sz w:val="32"/>
                <w:szCs w:val="32"/>
                <w:lang w:val="en-US" w:eastAsia="zh-CN"/>
              </w:rPr>
              <w:t>青年劳动者，尤其是</w:t>
            </w:r>
            <w:r>
              <w:rPr>
                <w:rFonts w:hint="eastAsia" w:ascii="仿宋_GB2312" w:hAnsi="仿宋_GB2312" w:eastAsia="仿宋_GB2312" w:cs="仿宋_GB2312"/>
                <w:sz w:val="32"/>
                <w:szCs w:val="32"/>
              </w:rPr>
              <w:t>新业态劳动者</w:t>
            </w:r>
            <w:r>
              <w:rPr>
                <w:rFonts w:hint="eastAsia" w:ascii="仿宋_GB2312" w:hAnsi="仿宋_GB2312" w:eastAsia="仿宋_GB2312" w:cs="仿宋_GB2312"/>
                <w:sz w:val="32"/>
                <w:szCs w:val="32"/>
                <w:lang w:val="en-US" w:eastAsia="zh-CN"/>
              </w:rPr>
              <w:t>工资待遇</w:t>
            </w:r>
            <w:r>
              <w:rPr>
                <w:rFonts w:hint="eastAsia" w:ascii="仿宋_GB2312" w:hAnsi="仿宋_GB2312" w:eastAsia="仿宋_GB2312" w:cs="仿宋_GB2312"/>
                <w:sz w:val="32"/>
                <w:szCs w:val="32"/>
              </w:rPr>
              <w:t>、休息休假、职业安全等权益保障机制。</w:t>
            </w:r>
            <w:r>
              <w:rPr>
                <w:rFonts w:hint="eastAsia" w:ascii="仿宋_GB2312" w:hAnsi="仿宋_GB2312" w:eastAsia="仿宋_GB2312" w:cs="仿宋_GB2312"/>
                <w:sz w:val="32"/>
                <w:szCs w:val="32"/>
                <w:lang w:eastAsia="zh-CN"/>
              </w:rPr>
              <w:t>加大青年主题活动开展频次，营造青年人在赤峰安心工作的良好氛围。</w:t>
            </w:r>
          </w:p>
        </w:tc>
      </w:tr>
    </w:tbl>
    <w:p w14:paraId="4B56559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sz w:val="32"/>
          <w:szCs w:val="32"/>
          <w:lang w:val="en-US" w:eastAsia="zh-CN"/>
        </w:rPr>
        <w:t>（二）促进农村牧区劳动力就业增收。</w:t>
      </w:r>
      <w:r>
        <w:rPr>
          <w:rFonts w:hint="eastAsia" w:ascii="仿宋_GB2312" w:hAnsi="仿宋_GB2312" w:eastAsia="仿宋_GB2312" w:cs="仿宋_GB2312"/>
          <w:sz w:val="32"/>
          <w:szCs w:val="32"/>
          <w:lang w:val="en-US" w:eastAsia="zh-CN"/>
        </w:rPr>
        <w:t>围绕县域经济和乡村产业发展，加快建立现代农牧业产业体系、生产体系、经营体系，加强现代农牧业产业园和农牧业现代化示范区建设，延伸农畜产品加工产业链，培育壮大龙头企业，健全利益链接机制，拓宽农村牧区劳动力就业渠道。大力实施以工代赈项目，引导农牧民积极参与防沙治沙、交通水利、市政基础等工程建设，吸纳更多农村劳动力就地就近就业。培育一批有地域特色、行业特征、技能特点，带动农村牧区劳动力就业效果好的劳务品牌，提高劳务输出组织化程度，促进农村牧区劳动力转</w:t>
      </w:r>
      <w:r>
        <w:rPr>
          <w:rFonts w:hint="eastAsia" w:ascii="仿宋_GB2312" w:hAnsi="仿宋_GB2312" w:eastAsia="仿宋_GB2312" w:cs="仿宋_GB2312"/>
          <w:color w:val="auto"/>
          <w:sz w:val="32"/>
          <w:szCs w:val="32"/>
          <w:highlight w:val="none"/>
          <w:lang w:val="en-US" w:eastAsia="zh-CN"/>
        </w:rPr>
        <w:t>移就业。建立常态化防止返贫致贫就业帮扶机制，持续做好防止返贫致贫对象、需要继续帮扶的原脱贫人口就业帮扶，对于难以通过市场化渠道实现就业的人员，开发乡村公益性岗位予以托底安置。</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2"/>
      </w:tblGrid>
      <w:tr w14:paraId="49E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A54A22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color w:val="auto"/>
                <w:sz w:val="32"/>
                <w:szCs w:val="32"/>
                <w:highlight w:val="none"/>
                <w:vertAlign w:val="baseline"/>
                <w:lang w:val="en-US" w:eastAsia="zh-CN"/>
              </w:rPr>
            </w:pPr>
            <w:r>
              <w:rPr>
                <w:rFonts w:hint="eastAsia" w:ascii="黑体" w:hAnsi="黑体" w:eastAsia="黑体" w:cs="黑体"/>
                <w:color w:val="auto"/>
                <w:sz w:val="32"/>
                <w:szCs w:val="32"/>
                <w:highlight w:val="none"/>
                <w:vertAlign w:val="baseline"/>
                <w:lang w:val="en-US" w:eastAsia="zh-CN"/>
              </w:rPr>
              <w:t>专栏5 农牧民工就业促进计划</w:t>
            </w:r>
          </w:p>
        </w:tc>
      </w:tr>
      <w:tr w14:paraId="47716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Pr>
          <w:p w14:paraId="6E0350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vertAlign w:val="baseline"/>
                <w:lang w:val="en-US" w:eastAsia="zh-CN"/>
              </w:rPr>
            </w:pPr>
            <w:r>
              <w:rPr>
                <w:rFonts w:hint="eastAsia" w:ascii="楷体_GB2312" w:hAnsi="楷体_GB2312" w:eastAsia="楷体_GB2312" w:cs="楷体_GB2312"/>
                <w:color w:val="auto"/>
                <w:sz w:val="32"/>
                <w:szCs w:val="32"/>
                <w:highlight w:val="none"/>
                <w:vertAlign w:val="baseline"/>
                <w:lang w:val="en-US" w:eastAsia="zh-CN"/>
              </w:rPr>
              <w:t>1.深化跨区域劳务协作。</w:t>
            </w:r>
            <w:r>
              <w:rPr>
                <w:rFonts w:hint="eastAsia" w:ascii="仿宋_GB2312" w:hAnsi="仿宋_GB2312" w:eastAsia="仿宋_GB2312" w:cs="仿宋_GB2312"/>
                <w:color w:val="auto"/>
                <w:sz w:val="32"/>
                <w:szCs w:val="32"/>
                <w:highlight w:val="none"/>
                <w:vertAlign w:val="baseline"/>
                <w:lang w:val="en-US" w:eastAsia="zh-CN"/>
              </w:rPr>
              <w:t>依托基层就业服务站点、人力资源服务机构开展劳动力调查，常态化摸排辖区居民外出意愿、技能特长、意向务工区域等信息，强化京蒙、东北三省一区和西部盟市劳务协作。</w:t>
            </w:r>
          </w:p>
          <w:p w14:paraId="591585E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trike w:val="0"/>
                <w:color w:val="auto"/>
                <w:sz w:val="32"/>
                <w:szCs w:val="32"/>
                <w:highlight w:val="yellow"/>
                <w:lang w:eastAsia="zh-CN"/>
              </w:rPr>
            </w:pPr>
            <w:r>
              <w:rPr>
                <w:rFonts w:hint="eastAsia" w:ascii="楷体_GB2312" w:hAnsi="楷体_GB2312" w:eastAsia="楷体_GB2312" w:cs="楷体_GB2312"/>
                <w:color w:val="auto"/>
                <w:sz w:val="32"/>
                <w:szCs w:val="32"/>
                <w:highlight w:val="none"/>
                <w:vertAlign w:val="baseline"/>
                <w:lang w:val="en-US" w:eastAsia="zh-CN"/>
              </w:rPr>
              <w:t>2.劳务品牌培树行动。</w:t>
            </w:r>
            <w:r>
              <w:rPr>
                <w:rFonts w:hint="eastAsia" w:ascii="仿宋_GB2312" w:hAnsi="仿宋_GB2312" w:eastAsia="仿宋_GB2312" w:cs="仿宋_GB2312"/>
                <w:color w:val="auto"/>
                <w:sz w:val="32"/>
                <w:szCs w:val="32"/>
                <w:highlight w:val="none"/>
                <w:lang w:val="en-US" w:eastAsia="zh-CN"/>
              </w:rPr>
              <w:t>培育一批有地域特色、行业特征、技能特点，带动农村牧区劳动力就业效果好的劳务品牌，提高劳务输出组织化程度，</w:t>
            </w:r>
            <w:r>
              <w:rPr>
                <w:rFonts w:hint="eastAsia" w:ascii="仿宋_GB2312" w:hAnsi="仿宋_GB2312" w:eastAsia="仿宋_GB2312" w:cs="仿宋_GB2312"/>
                <w:color w:val="auto"/>
                <w:sz w:val="32"/>
                <w:szCs w:val="32"/>
                <w:highlight w:val="none"/>
              </w:rPr>
              <w:t>到2030年，在现有18个劳务品牌</w:t>
            </w:r>
            <w:r>
              <w:rPr>
                <w:rFonts w:hint="eastAsia" w:ascii="仿宋_GB2312" w:hAnsi="仿宋_GB2312" w:eastAsia="仿宋_GB2312" w:cs="仿宋_GB2312"/>
                <w:color w:val="auto"/>
                <w:sz w:val="32"/>
                <w:szCs w:val="32"/>
                <w:highlight w:val="none"/>
                <w:lang w:val="en-US" w:eastAsia="zh-CN"/>
              </w:rPr>
              <w:t>规模</w:t>
            </w:r>
            <w:r>
              <w:rPr>
                <w:rFonts w:hint="eastAsia" w:ascii="仿宋_GB2312" w:hAnsi="仿宋_GB2312" w:eastAsia="仿宋_GB2312" w:cs="仿宋_GB2312"/>
                <w:color w:val="auto"/>
                <w:sz w:val="32"/>
                <w:szCs w:val="32"/>
                <w:highlight w:val="none"/>
              </w:rPr>
              <w:t>基础上，</w:t>
            </w:r>
            <w:r>
              <w:rPr>
                <w:rFonts w:hint="eastAsia" w:ascii="仿宋_GB2312" w:hAnsi="仿宋_GB2312" w:eastAsia="仿宋_GB2312" w:cs="仿宋_GB2312"/>
                <w:strike w:val="0"/>
                <w:dstrike w:val="0"/>
                <w:color w:val="auto"/>
                <w:sz w:val="32"/>
                <w:szCs w:val="32"/>
                <w:highlight w:val="none"/>
                <w:lang w:eastAsia="zh-CN"/>
              </w:rPr>
              <w:t>再培育一批劳务品牌龙头企业、打造一批劳务品牌，巩固“一县一品”品牌布局。</w:t>
            </w:r>
          </w:p>
          <w:p w14:paraId="247F38A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3.</w:t>
            </w:r>
            <w:r>
              <w:rPr>
                <w:rFonts w:hint="eastAsia" w:ascii="楷体_GB2312" w:hAnsi="楷体_GB2312" w:eastAsia="楷体_GB2312" w:cs="楷体_GB2312"/>
                <w:color w:val="auto"/>
                <w:sz w:val="32"/>
                <w:szCs w:val="32"/>
                <w:highlight w:val="none"/>
                <w:lang w:eastAsia="zh-CN"/>
              </w:rPr>
              <w:t>以工代赈促就业行动。</w:t>
            </w:r>
            <w:r>
              <w:rPr>
                <w:rFonts w:hint="eastAsia" w:ascii="仿宋_GB2312" w:hAnsi="仿宋_GB2312" w:eastAsia="仿宋_GB2312" w:cs="仿宋_GB2312"/>
                <w:color w:val="auto"/>
                <w:sz w:val="32"/>
                <w:szCs w:val="32"/>
                <w:highlight w:val="none"/>
                <w:lang w:eastAsia="zh-CN"/>
              </w:rPr>
              <w:t>扩大项目覆盖范围、建设领域和劳务报酬发放比例，吸纳农村劳动力等重点群体参加工程建设。</w:t>
            </w:r>
          </w:p>
        </w:tc>
      </w:tr>
    </w:tbl>
    <w:p w14:paraId="2AA7C53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楷体_GB2312" w:hAnsi="楷体_GB2312" w:eastAsia="楷体_GB2312" w:cs="楷体_GB2312"/>
          <w:sz w:val="32"/>
          <w:szCs w:val="32"/>
          <w:highlight w:val="none"/>
          <w:lang w:val="en-US" w:eastAsia="zh-CN"/>
        </w:rPr>
        <w:t>（三）做好退役军人就业服务保障。</w:t>
      </w:r>
      <w:r>
        <w:rPr>
          <w:rFonts w:hint="eastAsia" w:ascii="仿宋_GB2312" w:hAnsi="仿宋_GB2312" w:eastAsia="仿宋_GB2312" w:cs="仿宋_GB2312"/>
          <w:b w:val="0"/>
          <w:bCs w:val="0"/>
          <w:sz w:val="32"/>
          <w:szCs w:val="32"/>
          <w:highlight w:val="none"/>
          <w:lang w:val="en-US" w:eastAsia="zh-CN"/>
        </w:rPr>
        <w:t>做好退役军人安置工作，拓宽退役军人安置渠道。鼓励企业、新经济组织、新社会组织等吸纳退役军人就业。健全退役军人教育培训体系，依托普通高校、高职院校、社会培训机构和大型企业、实习实训基地，进一步丰富培训方向和门类，</w:t>
      </w:r>
      <w:r>
        <w:rPr>
          <w:rFonts w:hint="eastAsia" w:ascii="仿宋_GB2312" w:hAnsi="仿宋_GB2312" w:eastAsia="仿宋_GB2312" w:cs="仿宋_GB2312"/>
          <w:b w:val="0"/>
          <w:bCs w:val="0"/>
          <w:sz w:val="32"/>
          <w:szCs w:val="32"/>
          <w:highlight w:val="none"/>
          <w:lang w:eastAsia="zh-CN"/>
        </w:rPr>
        <w:t>探索开展</w:t>
      </w:r>
      <w:r>
        <w:rPr>
          <w:rFonts w:hint="eastAsia" w:ascii="仿宋_GB2312" w:hAnsi="仿宋_GB2312" w:eastAsia="仿宋_GB2312" w:cs="仿宋_GB2312"/>
          <w:b w:val="0"/>
          <w:bCs w:val="0"/>
          <w:sz w:val="32"/>
          <w:szCs w:val="32"/>
          <w:highlight w:val="none"/>
          <w:lang w:val="en-US" w:eastAsia="zh-CN"/>
        </w:rPr>
        <w:t>“订单式”“定向式”“定岗式”</w:t>
      </w:r>
      <w:r>
        <w:rPr>
          <w:rFonts w:hint="eastAsia" w:ascii="仿宋_GB2312" w:hAnsi="仿宋_GB2312" w:eastAsia="仿宋_GB2312" w:cs="仿宋_GB2312"/>
          <w:b w:val="0"/>
          <w:bCs w:val="0"/>
          <w:sz w:val="32"/>
          <w:szCs w:val="32"/>
          <w:highlight w:val="none"/>
          <w:lang w:eastAsia="zh-CN"/>
        </w:rPr>
        <w:t>项目制培训。</w:t>
      </w:r>
      <w:r>
        <w:rPr>
          <w:rFonts w:hint="eastAsia" w:ascii="仿宋_GB2312" w:hAnsi="仿宋_GB2312" w:eastAsia="仿宋_GB2312" w:cs="仿宋_GB2312"/>
          <w:b w:val="0"/>
          <w:bCs w:val="0"/>
          <w:sz w:val="32"/>
          <w:szCs w:val="32"/>
          <w:highlight w:val="none"/>
          <w:lang w:val="en-US" w:eastAsia="zh-CN"/>
        </w:rPr>
        <w:t>加强与高校的联系对接，联合加大宣传力度，开通学历教育直通车，实现退役军人学历水平进一步提升。积极推动建立退役军人就业创业孵化基地、众创空间和创业园区，认真落实好退役军人创业各项税费减免政策，切实营造良好的创业环境，激发广大退役军人创业热情。</w:t>
      </w:r>
    </w:p>
    <w:p w14:paraId="3070A7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sz w:val="32"/>
          <w:szCs w:val="32"/>
          <w:lang w:val="en-US" w:eastAsia="zh-CN"/>
        </w:rPr>
        <w:t>（四）做好就业困难人员就业帮扶工作。</w:t>
      </w:r>
      <w:r>
        <w:rPr>
          <w:rFonts w:hint="eastAsia" w:ascii="仿宋_GB2312" w:hAnsi="仿宋_GB2312" w:eastAsia="仿宋_GB2312" w:cs="仿宋_GB2312"/>
          <w:color w:val="auto"/>
          <w:sz w:val="32"/>
          <w:szCs w:val="32"/>
          <w:highlight w:val="none"/>
        </w:rPr>
        <w:t>加强对就业困难群体的帮扶，完善及时发现、优先服务、精准帮扶、动态管理的就业援助制度，对零就业家庭人员、残疾人等困难群体，提供“一人一档”、“一人一策”精细化服务。</w:t>
      </w:r>
      <w:r>
        <w:rPr>
          <w:rFonts w:hint="eastAsia" w:ascii="仿宋_GB2312" w:hAnsi="仿宋_GB2312" w:eastAsia="仿宋_GB2312" w:cs="仿宋_GB2312"/>
          <w:color w:val="auto"/>
          <w:sz w:val="32"/>
          <w:szCs w:val="32"/>
          <w:highlight w:val="none"/>
          <w:lang w:eastAsia="zh-CN"/>
        </w:rPr>
        <w:t>通过</w:t>
      </w:r>
      <w:r>
        <w:rPr>
          <w:rFonts w:hint="eastAsia" w:ascii="仿宋_GB2312" w:hAnsi="仿宋_GB2312" w:eastAsia="仿宋_GB2312" w:cs="仿宋_GB2312"/>
          <w:color w:val="auto"/>
          <w:sz w:val="32"/>
          <w:szCs w:val="32"/>
          <w:highlight w:val="none"/>
        </w:rPr>
        <w:t>支持企业吸纳就业、</w:t>
      </w:r>
      <w:r>
        <w:rPr>
          <w:rFonts w:hint="eastAsia" w:ascii="仿宋_GB2312" w:hAnsi="仿宋_GB2312" w:eastAsia="仿宋_GB2312" w:cs="仿宋_GB2312"/>
          <w:color w:val="auto"/>
          <w:sz w:val="32"/>
          <w:szCs w:val="32"/>
          <w:highlight w:val="none"/>
          <w:lang w:eastAsia="zh-CN"/>
        </w:rPr>
        <w:t>鼓励个人</w:t>
      </w:r>
      <w:r>
        <w:rPr>
          <w:rFonts w:hint="eastAsia" w:ascii="仿宋_GB2312" w:hAnsi="仿宋_GB2312" w:eastAsia="仿宋_GB2312" w:cs="仿宋_GB2312"/>
          <w:color w:val="auto"/>
          <w:sz w:val="32"/>
          <w:szCs w:val="32"/>
          <w:highlight w:val="none"/>
        </w:rPr>
        <w:t>自主创业</w:t>
      </w:r>
      <w:r>
        <w:rPr>
          <w:rFonts w:hint="eastAsia" w:ascii="仿宋_GB2312" w:hAnsi="仿宋_GB2312" w:eastAsia="仿宋_GB2312" w:cs="仿宋_GB2312"/>
          <w:color w:val="auto"/>
          <w:sz w:val="32"/>
          <w:szCs w:val="32"/>
          <w:highlight w:val="none"/>
          <w:lang w:eastAsia="zh-CN"/>
        </w:rPr>
        <w:t>、统筹用好</w:t>
      </w:r>
      <w:r>
        <w:rPr>
          <w:rFonts w:hint="eastAsia" w:ascii="仿宋_GB2312" w:hAnsi="仿宋_GB2312" w:eastAsia="仿宋_GB2312" w:cs="仿宋_GB2312"/>
          <w:color w:val="auto"/>
          <w:sz w:val="32"/>
          <w:szCs w:val="32"/>
        </w:rPr>
        <w:t>公益性岗位等</w:t>
      </w:r>
      <w:r>
        <w:rPr>
          <w:rFonts w:hint="eastAsia" w:ascii="仿宋_GB2312" w:hAnsi="仿宋_GB2312" w:eastAsia="仿宋_GB2312" w:cs="仿宋_GB2312"/>
          <w:color w:val="auto"/>
          <w:sz w:val="32"/>
          <w:szCs w:val="32"/>
          <w:lang w:eastAsia="zh-CN"/>
        </w:rPr>
        <w:t>方式</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highlight w:val="none"/>
        </w:rPr>
        <w:t>确保</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零就业家庭</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动态清零。</w:t>
      </w:r>
      <w:r>
        <w:rPr>
          <w:rFonts w:hint="eastAsia" w:ascii="仿宋_GB2312" w:hAnsi="仿宋_GB2312" w:eastAsia="仿宋_GB2312" w:cs="仿宋_GB2312"/>
          <w:color w:val="auto"/>
          <w:sz w:val="32"/>
          <w:szCs w:val="32"/>
          <w:highlight w:val="none"/>
          <w:lang w:eastAsia="zh-CN"/>
        </w:rPr>
        <w:t>推行登记失业人员就业帮扶“一件事”，</w:t>
      </w:r>
      <w:r>
        <w:rPr>
          <w:rFonts w:hint="eastAsia" w:ascii="仿宋_GB2312" w:hAnsi="仿宋_GB2312" w:eastAsia="仿宋_GB2312" w:cs="仿宋_GB2312"/>
          <w:color w:val="auto"/>
          <w:sz w:val="32"/>
          <w:szCs w:val="32"/>
        </w:rPr>
        <w:t>建立失业人员常态化帮扶机制，强化失业登记、职业指导、职业介绍、职业培训、生活保障联动。</w:t>
      </w:r>
      <w:r>
        <w:rPr>
          <w:rFonts w:hint="eastAsia" w:ascii="仿宋_GB2312" w:hAnsi="仿宋_GB2312" w:eastAsia="仿宋_GB2312" w:cs="仿宋_GB2312"/>
          <w:color w:val="auto"/>
          <w:sz w:val="32"/>
          <w:szCs w:val="32"/>
          <w:lang w:eastAsia="zh-CN"/>
        </w:rPr>
        <w:t>落实超龄劳动者基本权益保障暂行规定。</w:t>
      </w:r>
    </w:p>
    <w:p w14:paraId="3CA5D4B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七、完善创业带动就业政策扶持体系</w:t>
      </w:r>
    </w:p>
    <w:p w14:paraId="6918AE0C">
      <w:pPr>
        <w:keepNext w:val="0"/>
        <w:keepLines w:val="0"/>
        <w:pageBreakBefore w:val="0"/>
        <w:widowControl w:val="0"/>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（一）</w:t>
      </w:r>
      <w:r>
        <w:rPr>
          <w:rFonts w:hint="eastAsia" w:ascii="楷体_GB2312" w:hAnsi="楷体_GB2312" w:eastAsia="楷体_GB2312" w:cs="楷体_GB2312"/>
          <w:color w:val="auto"/>
          <w:sz w:val="32"/>
          <w:szCs w:val="32"/>
          <w:highlight w:val="none"/>
        </w:rPr>
        <w:t>优化创新创业环境</w:t>
      </w:r>
      <w:r>
        <w:rPr>
          <w:rFonts w:hint="eastAsia" w:ascii="楷体_GB2312" w:hAnsi="楷体_GB2312" w:eastAsia="楷体_GB2312" w:cs="楷体_GB2312"/>
          <w:color w:val="auto"/>
          <w:sz w:val="32"/>
          <w:szCs w:val="32"/>
          <w:highlight w:val="none"/>
          <w:lang w:eastAsia="zh-CN"/>
        </w:rPr>
        <w:t>。</w:t>
      </w:r>
      <w:r>
        <w:rPr>
          <w:rFonts w:hint="eastAsia" w:ascii="仿宋_GB2312" w:hAnsi="仿宋_GB2312" w:eastAsia="仿宋_GB2312" w:cs="仿宋_GB2312"/>
          <w:color w:val="auto"/>
          <w:sz w:val="32"/>
          <w:szCs w:val="32"/>
          <w:highlight w:val="none"/>
        </w:rPr>
        <w:t>营造以市场主体满意度为导向的营商环境。遵循规范统一、公开透明、便捷高效的原则，优化市场主体登记办理流程，提高登记效率，线上线下服务同步优化</w:t>
      </w:r>
      <w:r>
        <w:rPr>
          <w:rFonts w:hint="eastAsia" w:ascii="仿宋_GB2312" w:hAnsi="仿宋_GB2312" w:eastAsia="仿宋_GB2312" w:cs="仿宋_GB2312"/>
          <w:color w:val="auto"/>
          <w:sz w:val="32"/>
          <w:szCs w:val="32"/>
          <w:highlight w:val="none"/>
          <w:lang w:eastAsia="zh-CN"/>
        </w:rPr>
        <w:t>。实行</w:t>
      </w:r>
      <w:r>
        <w:rPr>
          <w:rFonts w:hint="eastAsia" w:ascii="仿宋_GB2312" w:hAnsi="仿宋_GB2312" w:eastAsia="仿宋_GB2312" w:cs="仿宋_GB2312"/>
          <w:color w:val="auto"/>
          <w:sz w:val="32"/>
          <w:szCs w:val="32"/>
          <w:highlight w:val="none"/>
        </w:rPr>
        <w:t>当场办结、一次办结、限时办结等制度</w:t>
      </w:r>
      <w:r>
        <w:rPr>
          <w:rFonts w:hint="eastAsia" w:ascii="仿宋_GB2312" w:hAnsi="仿宋_GB2312" w:eastAsia="仿宋_GB2312" w:cs="仿宋_GB2312"/>
          <w:color w:val="auto"/>
          <w:sz w:val="32"/>
          <w:szCs w:val="32"/>
          <w:highlight w:val="none"/>
          <w:lang w:eastAsia="zh-CN"/>
        </w:rPr>
        <w:t>。推行</w:t>
      </w:r>
      <w:r>
        <w:rPr>
          <w:rFonts w:hint="eastAsia" w:ascii="仿宋_GB2312" w:hAnsi="仿宋_GB2312" w:eastAsia="仿宋_GB2312" w:cs="仿宋_GB2312"/>
          <w:color w:val="auto"/>
          <w:sz w:val="32"/>
          <w:szCs w:val="32"/>
          <w:highlight w:val="none"/>
        </w:rPr>
        <w:t>“个人创业一件事”集成办理，涵盖就业创业证申领、无雇工个体工商户及灵活就业人员参加养老保险登记、创业补贴申领、经营主体登记注册、纳税人信息确认五项事项，最大限度实现个人创业便利快捷。</w:t>
      </w:r>
    </w:p>
    <w:p w14:paraId="61FD4AD4">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color w:val="auto"/>
          <w:sz w:val="32"/>
          <w:szCs w:val="32"/>
          <w:highlight w:val="none"/>
          <w:lang w:val="en-US" w:eastAsia="zh-CN"/>
        </w:rPr>
        <w:t>（二）</w:t>
      </w:r>
      <w:r>
        <w:rPr>
          <w:rFonts w:hint="eastAsia" w:ascii="楷体_GB2312" w:hAnsi="楷体_GB2312" w:eastAsia="楷体_GB2312" w:cs="楷体_GB2312"/>
          <w:color w:val="auto"/>
          <w:sz w:val="32"/>
          <w:szCs w:val="32"/>
          <w:highlight w:val="none"/>
          <w:lang w:eastAsia="zh-CN"/>
        </w:rPr>
        <w:t>强化创业载体建设。</w:t>
      </w:r>
      <w:r>
        <w:rPr>
          <w:rFonts w:hint="eastAsia" w:ascii="仿宋_GB2312" w:hAnsi="仿宋_GB2312" w:eastAsia="仿宋_GB2312" w:cs="仿宋_GB2312"/>
          <w:color w:val="auto"/>
          <w:sz w:val="32"/>
          <w:szCs w:val="32"/>
          <w:highlight w:val="none"/>
          <w:lang w:eastAsia="zh-CN"/>
        </w:rPr>
        <w:t>深化“创业内蒙古”行动，实施创业孵化载体提升计划。</w:t>
      </w:r>
      <w:r>
        <w:rPr>
          <w:rFonts w:hint="eastAsia" w:ascii="仿宋_GB2312" w:hAnsi="仿宋_GB2312" w:eastAsia="仿宋_GB2312" w:cs="仿宋_GB2312"/>
          <w:color w:val="auto"/>
          <w:sz w:val="32"/>
          <w:szCs w:val="32"/>
          <w:highlight w:val="none"/>
        </w:rPr>
        <w:t>全面引导创业孵化基地健康有序发展，提升创业载体功能和服务效能，</w:t>
      </w:r>
      <w:r>
        <w:rPr>
          <w:rFonts w:hint="eastAsia" w:ascii="仿宋_GB2312" w:hAnsi="仿宋_GB2312" w:eastAsia="仿宋_GB2312" w:cs="仿宋_GB2312"/>
          <w:color w:val="auto"/>
          <w:sz w:val="32"/>
          <w:szCs w:val="32"/>
          <w:highlight w:val="none"/>
          <w:lang w:eastAsia="zh-CN"/>
        </w:rPr>
        <w:t>分类推进“科技成果</w:t>
      </w:r>
      <w:r>
        <w:rPr>
          <w:rFonts w:hint="eastAsia" w:ascii="仿宋_GB2312" w:hAnsi="仿宋_GB2312" w:eastAsia="仿宋_GB2312" w:cs="仿宋_GB2312"/>
          <w:color w:val="auto"/>
          <w:sz w:val="32"/>
          <w:szCs w:val="32"/>
          <w:highlight w:val="none"/>
          <w:lang w:val="en-US" w:eastAsia="zh-CN"/>
        </w:rPr>
        <w:t>+创业</w:t>
      </w:r>
      <w:r>
        <w:rPr>
          <w:rFonts w:hint="eastAsia" w:ascii="仿宋_GB2312" w:hAnsi="仿宋_GB2312" w:eastAsia="仿宋_GB2312" w:cs="仿宋_GB2312"/>
          <w:color w:val="auto"/>
          <w:sz w:val="32"/>
          <w:szCs w:val="32"/>
          <w:highlight w:val="none"/>
          <w:lang w:eastAsia="zh-CN"/>
        </w:rPr>
        <w:t>”“产业发展</w:t>
      </w:r>
      <w:r>
        <w:rPr>
          <w:rFonts w:hint="eastAsia" w:ascii="仿宋_GB2312" w:hAnsi="仿宋_GB2312" w:eastAsia="仿宋_GB2312" w:cs="仿宋_GB2312"/>
          <w:color w:val="auto"/>
          <w:sz w:val="32"/>
          <w:szCs w:val="32"/>
          <w:highlight w:val="none"/>
          <w:lang w:val="en-US" w:eastAsia="zh-CN"/>
        </w:rPr>
        <w:t>+创业</w:t>
      </w:r>
      <w:r>
        <w:rPr>
          <w:rFonts w:hint="eastAsia" w:ascii="仿宋_GB2312" w:hAnsi="仿宋_GB2312" w:eastAsia="仿宋_GB2312" w:cs="仿宋_GB2312"/>
          <w:color w:val="auto"/>
          <w:sz w:val="32"/>
          <w:szCs w:val="32"/>
          <w:highlight w:val="none"/>
          <w:lang w:eastAsia="zh-CN"/>
        </w:rPr>
        <w:t>”“职业技能</w:t>
      </w:r>
      <w:r>
        <w:rPr>
          <w:rFonts w:hint="eastAsia" w:ascii="仿宋_GB2312" w:hAnsi="仿宋_GB2312" w:eastAsia="仿宋_GB2312" w:cs="仿宋_GB2312"/>
          <w:color w:val="auto"/>
          <w:sz w:val="32"/>
          <w:szCs w:val="32"/>
          <w:highlight w:val="none"/>
          <w:lang w:val="en-US" w:eastAsia="zh-CN"/>
        </w:rPr>
        <w:t>+创业</w:t>
      </w:r>
      <w:r>
        <w:rPr>
          <w:rFonts w:hint="eastAsia" w:ascii="仿宋_GB2312" w:hAnsi="仿宋_GB2312" w:eastAsia="仿宋_GB2312" w:cs="仿宋_GB2312"/>
          <w:color w:val="auto"/>
          <w:sz w:val="32"/>
          <w:szCs w:val="32"/>
          <w:highlight w:val="none"/>
          <w:lang w:eastAsia="zh-CN"/>
        </w:rPr>
        <w:t>”“民生需求</w:t>
      </w:r>
      <w:r>
        <w:rPr>
          <w:rFonts w:hint="eastAsia" w:ascii="仿宋_GB2312" w:hAnsi="仿宋_GB2312" w:eastAsia="仿宋_GB2312" w:cs="仿宋_GB2312"/>
          <w:color w:val="auto"/>
          <w:sz w:val="32"/>
          <w:szCs w:val="32"/>
          <w:highlight w:val="none"/>
          <w:lang w:val="en-US" w:eastAsia="zh-CN"/>
        </w:rPr>
        <w:t>+创业</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进创业指导大师工作室建设，推动创业服务专业化、品牌化。加强创业培训和创业服务的有效衔接，持续提供“线上+线下”政策扶持、案例分享、创业指导、信息推送、创业项目推介等后续跟踪服务。落实农牧民工返乡入乡创业支持政策，加强农</w:t>
      </w:r>
      <w:r>
        <w:rPr>
          <w:rFonts w:hint="eastAsia" w:ascii="仿宋_GB2312" w:hAnsi="仿宋_GB2312" w:eastAsia="仿宋_GB2312" w:cs="仿宋_GB2312"/>
          <w:color w:val="auto"/>
          <w:sz w:val="32"/>
          <w:szCs w:val="32"/>
          <w:highlight w:val="none"/>
          <w:lang w:eastAsia="zh-CN"/>
        </w:rPr>
        <w:t>牧</w:t>
      </w:r>
      <w:r>
        <w:rPr>
          <w:rFonts w:hint="eastAsia" w:ascii="仿宋_GB2312" w:hAnsi="仿宋_GB2312" w:eastAsia="仿宋_GB2312" w:cs="仿宋_GB2312"/>
          <w:color w:val="auto"/>
          <w:sz w:val="32"/>
          <w:szCs w:val="32"/>
          <w:highlight w:val="none"/>
        </w:rPr>
        <w:t>民工返乡创业园建设，带动更多农村牧区劳动力创业就业。</w:t>
      </w:r>
    </w:p>
    <w:p w14:paraId="54856C15">
      <w:pPr>
        <w:keepNext w:val="0"/>
        <w:keepLines w:val="0"/>
        <w:pageBreakBefore w:val="0"/>
        <w:widowControl w:val="0"/>
        <w:numPr>
          <w:ilvl w:val="0"/>
          <w:numId w:val="0"/>
        </w:numPr>
        <w:kinsoku/>
        <w:wordWrap/>
        <w:overflowPunct/>
        <w:topLinePunct w:val="0"/>
        <w:autoSpaceDE/>
        <w:autoSpaceDN/>
        <w:bidi w:val="0"/>
        <w:snapToGrid/>
        <w:spacing w:line="560" w:lineRule="exact"/>
        <w:ind w:firstLine="640" w:firstLineChars="200"/>
        <w:textAlignment w:val="auto"/>
        <w:rPr>
          <w:rFonts w:hint="eastAsia" w:ascii="FreeSerif" w:hAnsi="FreeSerif" w:eastAsia="仿宋_GB2312" w:cs="FreeSerif"/>
          <w:color w:val="auto"/>
          <w:sz w:val="36"/>
          <w:szCs w:val="36"/>
          <w:highlight w:val="none"/>
        </w:rPr>
      </w:pPr>
      <w:r>
        <w:rPr>
          <w:rFonts w:hint="eastAsia" w:ascii="楷体_GB2312" w:hAnsi="楷体_GB2312" w:eastAsia="楷体_GB2312" w:cs="楷体_GB2312"/>
          <w:color w:val="auto"/>
          <w:sz w:val="32"/>
          <w:szCs w:val="32"/>
          <w:highlight w:val="none"/>
          <w:lang w:val="en-US" w:eastAsia="zh-CN"/>
        </w:rPr>
        <w:t>（三）提升创业服务能力</w:t>
      </w:r>
      <w:r>
        <w:rPr>
          <w:rFonts w:hint="eastAsia" w:ascii="楷体_GB2312" w:hAnsi="楷体_GB2312" w:eastAsia="楷体_GB2312" w:cs="楷体_GB2312"/>
          <w:color w:val="auto"/>
          <w:sz w:val="32"/>
          <w:szCs w:val="32"/>
          <w:highlight w:val="none"/>
          <w:lang w:eastAsia="zh-CN"/>
        </w:rPr>
        <w:t>。</w:t>
      </w:r>
      <w:r>
        <w:rPr>
          <w:rFonts w:hint="eastAsia" w:ascii="仿宋_GB2312" w:hAnsi="仿宋_GB2312" w:eastAsia="仿宋_GB2312" w:cs="仿宋_GB2312"/>
          <w:color w:val="auto"/>
          <w:sz w:val="32"/>
          <w:szCs w:val="32"/>
          <w:highlight w:val="none"/>
        </w:rPr>
        <w:t>推动高校把创新创业教育融入人才培养全过程，强化校企、校地合作，挖掘充实创业教育资源，优化创业课程设置，提升创业教育质量。</w:t>
      </w:r>
      <w:r>
        <w:rPr>
          <w:rFonts w:hint="eastAsia" w:ascii="仿宋_GB2312" w:hAnsi="仿宋_GB2312" w:eastAsia="仿宋_GB2312" w:cs="仿宋_GB2312"/>
          <w:color w:val="auto"/>
          <w:sz w:val="32"/>
          <w:szCs w:val="32"/>
          <w:highlight w:val="none"/>
          <w:lang w:eastAsia="zh-CN"/>
        </w:rPr>
        <w:t>推动各类创业孵化资源集成服务，推行重点项目跟踪扶持孵化模式。加强对创业培训师、服务人员的培训，促进创业服务高质量发展。</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09AB52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35633E72">
            <w:pPr>
              <w:keepNext w:val="0"/>
              <w:keepLines w:val="0"/>
              <w:pageBreakBefore w:val="0"/>
              <w:widowControl w:val="0"/>
              <w:kinsoku/>
              <w:wordWrap/>
              <w:overflowPunct/>
              <w:topLinePunct w:val="0"/>
              <w:autoSpaceDE/>
              <w:autoSpaceDN/>
              <w:bidi w:val="0"/>
              <w:spacing w:line="560" w:lineRule="exact"/>
              <w:contextualSpacing/>
              <w:jc w:val="center"/>
              <w:textAlignment w:val="auto"/>
              <w:rPr>
                <w:rFonts w:ascii="仿宋_GB2312" w:hAnsi="仿宋_GB2312" w:eastAsia="仿宋_GB2312" w:cs="仿宋_GB2312"/>
                <w:color w:val="auto"/>
                <w:sz w:val="32"/>
                <w:szCs w:val="32"/>
                <w:highlight w:val="none"/>
              </w:rPr>
            </w:pPr>
            <w:r>
              <w:rPr>
                <w:rFonts w:hint="eastAsia" w:ascii="黑体" w:hAnsi="黑体" w:eastAsia="黑体" w:cs="仿宋_GB2312"/>
                <w:color w:val="auto"/>
                <w:spacing w:val="0"/>
                <w:sz w:val="32"/>
                <w:szCs w:val="32"/>
                <w:highlight w:val="none"/>
              </w:rPr>
              <w:t>专栏</w:t>
            </w:r>
            <w:r>
              <w:rPr>
                <w:rFonts w:hint="eastAsia" w:ascii="黑体" w:hAnsi="黑体" w:eastAsia="黑体" w:cs="仿宋_GB2312"/>
                <w:color w:val="auto"/>
                <w:spacing w:val="0"/>
                <w:sz w:val="32"/>
                <w:szCs w:val="32"/>
                <w:highlight w:val="none"/>
                <w:lang w:val="en-US" w:eastAsia="zh-CN"/>
              </w:rPr>
              <w:t>6</w:t>
            </w:r>
            <w:r>
              <w:rPr>
                <w:rFonts w:hint="eastAsia" w:ascii="黑体" w:hAnsi="黑体" w:eastAsia="黑体" w:cs="仿宋_GB2312"/>
                <w:color w:val="auto"/>
                <w:spacing w:val="0"/>
                <w:sz w:val="32"/>
                <w:szCs w:val="32"/>
                <w:highlight w:val="none"/>
              </w:rPr>
              <w:t xml:space="preserve"> 创业带动就业工程</w:t>
            </w:r>
          </w:p>
        </w:tc>
      </w:tr>
      <w:tr w14:paraId="08DA74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noWrap w:val="0"/>
            <w:vAlign w:val="top"/>
          </w:tcPr>
          <w:p w14:paraId="4123FFC7">
            <w:pPr>
              <w:keepNext w:val="0"/>
              <w:keepLines w:val="0"/>
              <w:pageBreakBefore w:val="0"/>
              <w:widowControl w:val="0"/>
              <w:kinsoku/>
              <w:wordWrap/>
              <w:overflowPunct/>
              <w:topLinePunct w:val="0"/>
              <w:autoSpaceDE/>
              <w:autoSpaceDN/>
              <w:bidi w:val="0"/>
              <w:adjustRightInd/>
              <w:snapToGrid/>
              <w:spacing w:line="560" w:lineRule="exact"/>
              <w:ind w:firstLine="600" w:firstLineChars="200"/>
              <w:contextualSpacing/>
              <w:textAlignment w:val="auto"/>
              <w:rPr>
                <w:rFonts w:hint="eastAsia" w:ascii="仿宋_GB2312" w:hAnsi="仿宋_GB2312" w:eastAsia="仿宋_GB2312" w:cs="仿宋_GB2312"/>
                <w:b w:val="0"/>
                <w:bCs/>
                <w:color w:val="auto"/>
                <w:sz w:val="32"/>
                <w:szCs w:val="32"/>
                <w:highlight w:val="none"/>
              </w:rPr>
            </w:pPr>
            <w:r>
              <w:rPr>
                <w:rFonts w:hint="eastAsia" w:ascii="楷体_GB2312" w:hAnsi="楷体_GB2312" w:eastAsia="楷体_GB2312" w:cs="楷体_GB2312"/>
                <w:b w:val="0"/>
                <w:bCs/>
                <w:color w:val="auto"/>
                <w:spacing w:val="-10"/>
                <w:sz w:val="32"/>
                <w:szCs w:val="32"/>
                <w:highlight w:val="none"/>
              </w:rPr>
              <w:t>1.创新创业赋能中心打造项目</w:t>
            </w:r>
            <w:r>
              <w:rPr>
                <w:rFonts w:hint="eastAsia" w:ascii="楷体_GB2312" w:hAnsi="楷体_GB2312" w:eastAsia="楷体_GB2312" w:cs="楷体_GB2312"/>
                <w:b w:val="0"/>
                <w:bCs/>
                <w:color w:val="auto"/>
                <w:spacing w:val="-10"/>
                <w:sz w:val="32"/>
                <w:szCs w:val="32"/>
                <w:highlight w:val="none"/>
                <w:lang w:eastAsia="zh-CN"/>
              </w:rPr>
              <w:t>。</w:t>
            </w:r>
            <w:r>
              <w:rPr>
                <w:rFonts w:hint="eastAsia" w:ascii="仿宋_GB2312" w:hAnsi="仿宋_GB2312" w:eastAsia="仿宋_GB2312" w:cs="仿宋_GB2312"/>
                <w:b w:val="0"/>
                <w:bCs/>
                <w:color w:val="auto"/>
                <w:sz w:val="32"/>
                <w:szCs w:val="32"/>
                <w:highlight w:val="none"/>
              </w:rPr>
              <w:t>通过打造“赤峰市创新创业赋能中心”，建设集创业教育、创业孵化、创业项目、创业导师、资源对接于一体</w:t>
            </w:r>
            <w:r>
              <w:rPr>
                <w:rFonts w:hint="eastAsia" w:ascii="仿宋_GB2312" w:hAnsi="仿宋_GB2312" w:eastAsia="仿宋_GB2312" w:cs="仿宋_GB2312"/>
                <w:b w:val="0"/>
                <w:bCs/>
                <w:color w:val="auto"/>
                <w:sz w:val="32"/>
                <w:szCs w:val="32"/>
                <w:highlight w:val="none"/>
                <w:lang w:eastAsia="zh-CN"/>
              </w:rPr>
              <w:t>的</w:t>
            </w:r>
            <w:r>
              <w:rPr>
                <w:rFonts w:hint="eastAsia" w:ascii="仿宋_GB2312" w:hAnsi="仿宋_GB2312" w:eastAsia="仿宋_GB2312" w:cs="仿宋_GB2312"/>
                <w:b w:val="0"/>
                <w:bCs/>
                <w:color w:val="auto"/>
                <w:sz w:val="32"/>
                <w:szCs w:val="32"/>
                <w:highlight w:val="none"/>
              </w:rPr>
              <w:t>创新创业平台，提升创新创业服务精准度、激发创业活力、提高创业成功率。</w:t>
            </w:r>
          </w:p>
          <w:p w14:paraId="1BD836D0">
            <w:pPr>
              <w:keepNext w:val="0"/>
              <w:keepLines w:val="0"/>
              <w:pageBreakBefore w:val="0"/>
              <w:widowControl w:val="0"/>
              <w:kinsoku/>
              <w:wordWrap/>
              <w:overflowPunct/>
              <w:topLinePunct w:val="0"/>
              <w:autoSpaceDE/>
              <w:autoSpaceDN/>
              <w:bidi w:val="0"/>
              <w:adjustRightInd/>
              <w:snapToGrid/>
              <w:spacing w:line="560" w:lineRule="exact"/>
              <w:ind w:firstLine="600" w:firstLineChars="200"/>
              <w:contextualSpacing/>
              <w:textAlignment w:val="auto"/>
              <w:rPr>
                <w:rFonts w:ascii="仿宋_GB2312" w:hAnsi="仿宋_GB2312" w:eastAsia="仿宋_GB2312" w:cs="仿宋_GB2312"/>
                <w:color w:val="auto"/>
                <w:sz w:val="32"/>
                <w:szCs w:val="32"/>
                <w:highlight w:val="none"/>
              </w:rPr>
            </w:pPr>
            <w:r>
              <w:rPr>
                <w:rFonts w:hint="eastAsia" w:ascii="楷体_GB2312" w:hAnsi="楷体_GB2312" w:eastAsia="楷体_GB2312" w:cs="楷体_GB2312"/>
                <w:b w:val="0"/>
                <w:bCs/>
                <w:color w:val="auto"/>
                <w:spacing w:val="-10"/>
                <w:sz w:val="32"/>
                <w:szCs w:val="32"/>
                <w:highlight w:val="none"/>
              </w:rPr>
              <w:t>2.创业指导大师工作室项目</w:t>
            </w:r>
            <w:r>
              <w:rPr>
                <w:rFonts w:hint="eastAsia" w:ascii="楷体_GB2312" w:hAnsi="楷体_GB2312" w:eastAsia="楷体_GB2312" w:cs="楷体_GB2312"/>
                <w:b w:val="0"/>
                <w:bCs/>
                <w:color w:val="auto"/>
                <w:spacing w:val="-10"/>
                <w:sz w:val="32"/>
                <w:szCs w:val="32"/>
                <w:highlight w:val="none"/>
                <w:lang w:eastAsia="zh-CN"/>
              </w:rPr>
              <w:t>。</w:t>
            </w:r>
            <w:r>
              <w:rPr>
                <w:rFonts w:hint="eastAsia" w:ascii="仿宋_GB2312" w:hAnsi="仿宋_GB2312" w:eastAsia="仿宋_GB2312" w:cs="仿宋_GB2312"/>
                <w:b w:val="0"/>
                <w:bCs/>
                <w:color w:val="auto"/>
                <w:sz w:val="32"/>
                <w:szCs w:val="32"/>
                <w:highlight w:val="none"/>
              </w:rPr>
              <w:t>打造</w:t>
            </w:r>
            <w:r>
              <w:rPr>
                <w:rFonts w:hint="eastAsia" w:ascii="仿宋_GB2312" w:hAnsi="仿宋_GB2312" w:eastAsia="仿宋_GB2312" w:cs="仿宋_GB2312"/>
                <w:b w:val="0"/>
                <w:bCs/>
                <w:color w:val="auto"/>
                <w:sz w:val="32"/>
                <w:szCs w:val="32"/>
                <w:highlight w:val="none"/>
                <w:shd w:val="clear"/>
                <w:lang w:val="en-US" w:eastAsia="zh-CN"/>
              </w:rPr>
              <w:t>5</w:t>
            </w:r>
            <w:r>
              <w:rPr>
                <w:rFonts w:hint="eastAsia" w:ascii="仿宋_GB2312" w:hAnsi="仿宋_GB2312" w:eastAsia="仿宋_GB2312" w:cs="仿宋_GB2312"/>
                <w:b w:val="0"/>
                <w:bCs/>
                <w:color w:val="auto"/>
                <w:sz w:val="32"/>
                <w:szCs w:val="32"/>
                <w:highlight w:val="none"/>
                <w:shd w:val="clear"/>
              </w:rPr>
              <w:t>个创</w:t>
            </w:r>
            <w:r>
              <w:rPr>
                <w:rFonts w:hint="eastAsia" w:ascii="仿宋_GB2312" w:hAnsi="仿宋_GB2312" w:eastAsia="仿宋_GB2312" w:cs="仿宋_GB2312"/>
                <w:b w:val="0"/>
                <w:bCs/>
                <w:color w:val="auto"/>
                <w:sz w:val="32"/>
                <w:szCs w:val="32"/>
                <w:highlight w:val="none"/>
              </w:rPr>
              <w:t>业指导大师工作室。扩大赤峰市优秀创业导师队伍，利用工作室各自优势，跨省、跨盟市对接优秀创业资源，为赤峰市创业者提供优质服务，开展服务活动。</w:t>
            </w:r>
          </w:p>
        </w:tc>
      </w:tr>
    </w:tbl>
    <w:p w14:paraId="32B6A47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八、健全精准高效的就业公共服务体系</w:t>
      </w:r>
    </w:p>
    <w:p w14:paraId="4046193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（一）夯实基层导向的就业公共服务基础。</w:t>
      </w:r>
      <w:r>
        <w:rPr>
          <w:rFonts w:hint="eastAsia" w:ascii="仿宋_GB2312" w:hAnsi="仿宋_GB2312" w:eastAsia="仿宋_GB2312" w:cs="仿宋_GB2312"/>
          <w:color w:val="auto"/>
          <w:sz w:val="32"/>
          <w:szCs w:val="32"/>
          <w:highlight w:val="none"/>
          <w:lang w:val="en-US" w:eastAsia="zh-CN"/>
        </w:rPr>
        <w:t>完善覆盖城乡的公共就业服务体系，坚持服务重心下沉，标准化建设“家门口”就业服务站，打造“15分钟就业服务圈”，实现乡镇（街道）、村（社区）服务触点全覆盖。将基层就业公共服务融入党建引领基层治理范畴，纳入基层民生保障服务事项，贯彻落实赤峰市党建引领就业的工作部署，筑牢基层就业服务“最后一公里”根基。</w:t>
      </w:r>
    </w:p>
    <w:p w14:paraId="5C3D132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lang w:val="en-US" w:eastAsia="zh-CN"/>
        </w:rPr>
        <w:t>（二）推行数字赋能的就业公共服务模式。</w:t>
      </w:r>
      <w:r>
        <w:rPr>
          <w:rFonts w:hint="eastAsia" w:ascii="仿宋_GB2312" w:hAnsi="仿宋_GB2312" w:eastAsia="仿宋_GB2312" w:cs="仿宋_GB2312"/>
          <w:color w:val="auto"/>
          <w:sz w:val="32"/>
          <w:szCs w:val="32"/>
          <w:lang w:val="en-US" w:eastAsia="zh-CN"/>
        </w:rPr>
        <w:t>加快就业服务数字</w:t>
      </w:r>
      <w:r>
        <w:rPr>
          <w:rFonts w:hint="eastAsia" w:ascii="仿宋_GB2312" w:hAnsi="仿宋_GB2312" w:eastAsia="仿宋_GB2312" w:cs="仿宋_GB2312"/>
          <w:color w:val="auto"/>
          <w:sz w:val="32"/>
          <w:szCs w:val="32"/>
          <w:highlight w:val="none"/>
          <w:lang w:val="en-US" w:eastAsia="zh-CN"/>
        </w:rPr>
        <w:t>化转型，健全跨部门数据协同共享机制，推动实现就业服务事项全流程网办，推行“大数据+铁脚板”服务模式。依托国家公共就业服务能力提升示范项目，搭建智慧化就业服务场景，精准覆盖就业服务各环节，逐一破解痛点堵点。</w:t>
      </w:r>
    </w:p>
    <w:p w14:paraId="16467FE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楷体_GB2312" w:hAnsi="楷体_GB2312" w:eastAsia="楷体_GB2312" w:cs="楷体_GB2312"/>
          <w:b w:val="0"/>
          <w:bCs w:val="0"/>
          <w:color w:val="auto"/>
          <w:sz w:val="32"/>
          <w:szCs w:val="32"/>
          <w:highlight w:val="none"/>
          <w:lang w:val="en-US" w:eastAsia="zh-CN"/>
        </w:rPr>
        <w:t>（三）持续健全“赤峰就业港”区域公共就业服务生态体系。</w:t>
      </w:r>
      <w:r>
        <w:rPr>
          <w:rFonts w:hint="eastAsia" w:ascii="仿宋_GB2312" w:hAnsi="仿宋_GB2312" w:eastAsia="仿宋_GB2312" w:cs="仿宋_GB2312"/>
          <w:color w:val="auto"/>
          <w:sz w:val="32"/>
          <w:szCs w:val="32"/>
          <w:highlight w:val="none"/>
          <w:lang w:val="en-US" w:eastAsia="zh-CN"/>
        </w:rPr>
        <w:t>巩固国家公共就业服务能力提升示范项目建设成效，夯实资源集聚、供需流动、民生归属核心功能。十五五时期，线上依托赤峰就业港信息化服务平台，深化大数据、人工智能运用，优化人岗智能匹配、政策精准推送等服务。线下依托全域实体服务矩阵，推进基层服务站点提质升级，做实重点群体就业服务，深化跨区域就业协作，构建线上智慧赋能、线下全域落地、内外联动互通的公共就业服务新格局。</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1E6E7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4A2F5180">
            <w:pPr>
              <w:keepNext w:val="0"/>
              <w:keepLines w:val="0"/>
              <w:pageBreakBefore w:val="0"/>
              <w:widowControl w:val="0"/>
              <w:kinsoku/>
              <w:wordWrap/>
              <w:overflowPunct/>
              <w:topLinePunct w:val="0"/>
              <w:autoSpaceDE/>
              <w:autoSpaceDN/>
              <w:bidi w:val="0"/>
              <w:spacing w:line="560" w:lineRule="exact"/>
              <w:contextualSpacing/>
              <w:jc w:val="center"/>
              <w:textAlignment w:val="auto"/>
              <w:rPr>
                <w:rFonts w:hint="eastAsia" w:ascii="仿宋_GB2312" w:hAnsi="仿宋_GB2312" w:eastAsia="黑体" w:cs="仿宋_GB2312"/>
                <w:color w:val="auto"/>
                <w:sz w:val="32"/>
                <w:szCs w:val="32"/>
                <w:highlight w:val="none"/>
                <w:lang w:eastAsia="zh-CN"/>
              </w:rPr>
            </w:pPr>
            <w:r>
              <w:rPr>
                <w:rFonts w:hint="eastAsia" w:ascii="黑体" w:hAnsi="黑体" w:eastAsia="黑体" w:cs="仿宋_GB2312"/>
                <w:color w:val="auto"/>
                <w:spacing w:val="-10"/>
                <w:sz w:val="32"/>
                <w:szCs w:val="32"/>
                <w:highlight w:val="none"/>
              </w:rPr>
              <w:t>专栏</w:t>
            </w:r>
            <w:r>
              <w:rPr>
                <w:rFonts w:hint="eastAsia" w:ascii="黑体" w:hAnsi="黑体" w:eastAsia="黑体" w:cs="仿宋_GB2312"/>
                <w:color w:val="auto"/>
                <w:spacing w:val="-10"/>
                <w:sz w:val="32"/>
                <w:szCs w:val="32"/>
                <w:highlight w:val="none"/>
                <w:lang w:val="en-US" w:eastAsia="zh-CN"/>
              </w:rPr>
              <w:t>7</w:t>
            </w:r>
            <w:r>
              <w:rPr>
                <w:rFonts w:hint="eastAsia" w:ascii="黑体" w:hAnsi="黑体" w:eastAsia="黑体" w:cs="仿宋_GB2312"/>
                <w:color w:val="auto"/>
                <w:spacing w:val="-10"/>
                <w:sz w:val="32"/>
                <w:szCs w:val="32"/>
                <w:highlight w:val="none"/>
              </w:rPr>
              <w:t xml:space="preserve"> </w:t>
            </w:r>
            <w:r>
              <w:rPr>
                <w:rFonts w:hint="eastAsia" w:ascii="黑体" w:hAnsi="黑体" w:eastAsia="黑体" w:cs="仿宋_GB2312"/>
                <w:color w:val="auto"/>
                <w:spacing w:val="-10"/>
                <w:sz w:val="32"/>
                <w:szCs w:val="32"/>
                <w:highlight w:val="none"/>
                <w:lang w:eastAsia="zh-CN"/>
              </w:rPr>
              <w:t>深化</w:t>
            </w:r>
            <w:r>
              <w:rPr>
                <w:rFonts w:hint="eastAsia" w:ascii="黑体" w:hAnsi="黑体" w:eastAsia="黑体" w:cs="黑体"/>
                <w:color w:val="auto"/>
                <w:sz w:val="32"/>
                <w:szCs w:val="32"/>
                <w:highlight w:val="none"/>
              </w:rPr>
              <w:t>“玉龙腾飞”就业促进工程</w:t>
            </w:r>
          </w:p>
        </w:tc>
      </w:tr>
      <w:tr w14:paraId="249C6D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noWrap w:val="0"/>
            <w:vAlign w:val="top"/>
          </w:tcPr>
          <w:p w14:paraId="0F0057C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仿宋_GB2312" w:hAnsi="仿宋_GB2312" w:eastAsia="仿宋_GB2312" w:cs="仿宋_GB2312"/>
                <w:color w:val="auto"/>
                <w:sz w:val="32"/>
                <w:szCs w:val="32"/>
                <w:highlight w:val="none"/>
                <w:u w:val="none"/>
                <w:lang w:val="en-US" w:eastAsia="zh-CN"/>
              </w:rPr>
            </w:pPr>
            <w:r>
              <w:rPr>
                <w:rFonts w:hint="eastAsia" w:ascii="楷体_GB2312" w:hAnsi="楷体_GB2312" w:eastAsia="楷体_GB2312" w:cs="楷体_GB2312"/>
                <w:color w:val="auto"/>
                <w:sz w:val="32"/>
                <w:szCs w:val="32"/>
                <w:highlight w:val="none"/>
                <w:lang w:val="en-US" w:eastAsia="zh-CN"/>
              </w:rPr>
              <w:t>1.赋能企业高质量发展。</w:t>
            </w:r>
            <w:r>
              <w:rPr>
                <w:rFonts w:hint="eastAsia" w:ascii="仿宋_GB2312" w:hAnsi="仿宋_GB2312" w:eastAsia="仿宋_GB2312" w:cs="仿宋_GB2312"/>
                <w:color w:val="auto"/>
                <w:sz w:val="32"/>
                <w:szCs w:val="32"/>
                <w:highlight w:val="none"/>
                <w:lang w:val="en-US" w:eastAsia="zh-CN"/>
              </w:rPr>
              <w:t>以产业服务中心建设为支点，创新构建“分级储备、定制服务、全域覆盖”的企业用工保障体系，行程“需求精准对接、服务主动下沉、效能持续提升”的企业服务模式，赋能产业转型升级。</w:t>
            </w:r>
          </w:p>
          <w:p w14:paraId="763F959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contextualSpacing/>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2.建强“家门口”就业服务站。</w:t>
            </w:r>
            <w:r>
              <w:rPr>
                <w:rFonts w:hint="eastAsia" w:ascii="仿宋_GB2312" w:hAnsi="仿宋_GB2312" w:eastAsia="仿宋_GB2312" w:cs="仿宋_GB2312"/>
                <w:color w:val="auto"/>
                <w:sz w:val="32"/>
                <w:szCs w:val="32"/>
                <w:highlight w:val="none"/>
                <w:lang w:eastAsia="zh-CN"/>
              </w:rPr>
              <w:t>以“党建</w:t>
            </w:r>
            <w:r>
              <w:rPr>
                <w:rFonts w:hint="eastAsia" w:ascii="仿宋_GB2312" w:hAnsi="仿宋_GB2312" w:eastAsia="仿宋_GB2312" w:cs="仿宋_GB2312"/>
                <w:color w:val="auto"/>
                <w:sz w:val="32"/>
                <w:szCs w:val="32"/>
                <w:highlight w:val="none"/>
                <w:lang w:val="en-US" w:eastAsia="zh-CN"/>
              </w:rPr>
              <w:t>+就业</w:t>
            </w:r>
            <w:r>
              <w:rPr>
                <w:rFonts w:hint="eastAsia" w:ascii="仿宋_GB2312" w:hAnsi="仿宋_GB2312" w:eastAsia="仿宋_GB2312" w:cs="仿宋_GB2312"/>
                <w:color w:val="auto"/>
                <w:sz w:val="32"/>
                <w:szCs w:val="32"/>
                <w:highlight w:val="none"/>
                <w:lang w:eastAsia="zh-CN"/>
              </w:rPr>
              <w:t>”深度融合为核心抓手，在全市层面统一服务站建站标准、事项清单和考核指标体系。推动群众、企业、社会组织等多方力量共同参与，精准破解“就业难”与“招工难”双向堵点。</w:t>
            </w:r>
          </w:p>
          <w:p w14:paraId="537AE5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contextualSpacing/>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3.加强人力资源服务机构建设。</w:t>
            </w:r>
            <w:r>
              <w:rPr>
                <w:rFonts w:hint="default" w:ascii="仿宋_GB2312" w:hAnsi="仿宋_GB2312" w:eastAsia="仿宋_GB2312" w:cs="仿宋_GB2312"/>
                <w:color w:val="auto"/>
                <w:sz w:val="32"/>
                <w:szCs w:val="32"/>
                <w:highlight w:val="none"/>
                <w:lang w:eastAsia="zh-CN"/>
              </w:rPr>
              <w:t>规范人力资源市场秩序</w:t>
            </w:r>
            <w:r>
              <w:rPr>
                <w:rFonts w:hint="eastAsia" w:ascii="仿宋_GB2312" w:hAnsi="仿宋_GB2312" w:eastAsia="仿宋_GB2312" w:cs="仿宋_GB2312"/>
                <w:color w:val="auto"/>
                <w:sz w:val="32"/>
                <w:szCs w:val="32"/>
                <w:highlight w:val="none"/>
                <w:lang w:eastAsia="zh-CN"/>
              </w:rPr>
              <w:t>，</w:t>
            </w:r>
            <w:r>
              <w:rPr>
                <w:rFonts w:hint="default" w:ascii="仿宋_GB2312" w:hAnsi="仿宋_GB2312" w:eastAsia="仿宋_GB2312" w:cs="仿宋_GB2312"/>
                <w:color w:val="auto"/>
                <w:sz w:val="32"/>
                <w:szCs w:val="32"/>
                <w:highlight w:val="none"/>
                <w:lang w:eastAsia="zh-CN"/>
              </w:rPr>
              <w:t>积极培养引进</w:t>
            </w:r>
            <w:r>
              <w:rPr>
                <w:rFonts w:hint="eastAsia" w:ascii="仿宋_GB2312" w:hAnsi="仿宋_GB2312" w:eastAsia="仿宋_GB2312" w:cs="仿宋_GB2312"/>
                <w:color w:val="auto"/>
                <w:sz w:val="32"/>
                <w:szCs w:val="32"/>
                <w:highlight w:val="none"/>
                <w:lang w:eastAsia="zh-CN"/>
              </w:rPr>
              <w:t>市</w:t>
            </w:r>
            <w:r>
              <w:rPr>
                <w:rFonts w:hint="default" w:ascii="仿宋_GB2312" w:hAnsi="仿宋_GB2312" w:eastAsia="仿宋_GB2312" w:cs="仿宋_GB2312"/>
                <w:color w:val="auto"/>
                <w:sz w:val="32"/>
                <w:szCs w:val="32"/>
                <w:highlight w:val="none"/>
                <w:lang w:eastAsia="zh-CN"/>
              </w:rPr>
              <w:t>内外优质人力资源服务机构，推动人力资源服务产业园提档升级。深入开展人力资源服务业促就业行动，推动人力资源服务业与</w:t>
            </w:r>
            <w:r>
              <w:rPr>
                <w:rFonts w:hint="eastAsia" w:ascii="仿宋_GB2312" w:hAnsi="仿宋_GB2312" w:eastAsia="仿宋_GB2312" w:cs="仿宋_GB2312"/>
                <w:color w:val="auto"/>
                <w:sz w:val="32"/>
                <w:szCs w:val="32"/>
                <w:highlight w:val="none"/>
                <w:lang w:eastAsia="zh-CN"/>
              </w:rPr>
              <w:t>赤峰市</w:t>
            </w:r>
            <w:r>
              <w:rPr>
                <w:rFonts w:hint="default" w:ascii="仿宋_GB2312" w:hAnsi="仿宋_GB2312" w:eastAsia="仿宋_GB2312" w:cs="仿宋_GB2312"/>
                <w:color w:val="auto"/>
                <w:sz w:val="32"/>
                <w:szCs w:val="32"/>
                <w:highlight w:val="none"/>
                <w:lang w:eastAsia="zh-CN"/>
              </w:rPr>
              <w:t>重点产业深度融合。</w:t>
            </w:r>
          </w:p>
        </w:tc>
      </w:tr>
    </w:tbl>
    <w:p w14:paraId="4861F5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九、提升劳动者就业权益保障水平</w:t>
      </w:r>
    </w:p>
    <w:p w14:paraId="3BA08AB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（一）保障平等就业权利。</w:t>
      </w:r>
      <w:r>
        <w:rPr>
          <w:rFonts w:hint="eastAsia" w:ascii="仿宋_GB2312" w:hAnsi="仿宋_GB2312" w:eastAsia="仿宋_GB2312" w:cs="仿宋_GB2312"/>
          <w:color w:val="auto"/>
          <w:sz w:val="32"/>
          <w:szCs w:val="32"/>
          <w:lang w:val="en-US" w:eastAsia="zh-CN"/>
        </w:rPr>
        <w:t>深化劳动力市场配置改革，破除影响劳动力、人才流动的体制机制障碍。加强就业歧视治理，保障各类劳动者平等就业权利。加强企业用工指导，严禁用人单位在招聘公告和录用环节设置性别、年龄等与岗位工作内容无关的限制性条件。依法保障妇女合法就业权益。加强残疾人就业帮扶，用好公益性岗位安置，严格落实按比例就业、辅助性就业、自主创业、灵活就业等举措。</w:t>
      </w:r>
    </w:p>
    <w:p w14:paraId="3B48C9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（二）推进和谐劳动关系创建。</w:t>
      </w:r>
      <w:r>
        <w:rPr>
          <w:rFonts w:hint="eastAsia" w:ascii="仿宋_GB2312" w:hAnsi="仿宋_GB2312" w:eastAsia="仿宋_GB2312" w:cs="仿宋_GB2312"/>
          <w:color w:val="auto"/>
          <w:sz w:val="32"/>
          <w:szCs w:val="32"/>
          <w:lang w:val="en-US" w:eastAsia="zh-CN"/>
        </w:rPr>
        <w:t>推行工资集体协商制度，贯彻落实最低工资标准，完善企业薪酬调查和信息发布制度，引导企业合理进行工资分配，规范国有企业收入分配秩序，规范负责人薪酬管理。健全协调劳动关系三方机制，持续深化劳动合同制度落实，提升劳动合同签订覆盖率和履约质量。完善劳动人事争议预防化解机制，健全多元处理机制，推广使用“互联网+调解”服务平台。</w:t>
      </w:r>
    </w:p>
    <w:tbl>
      <w:tblPr>
        <w:tblStyle w:val="7"/>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522"/>
      </w:tblGrid>
      <w:tr w14:paraId="531E58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shd w:val="clear" w:color="auto" w:fill="auto"/>
            <w:noWrap w:val="0"/>
            <w:vAlign w:val="top"/>
          </w:tcPr>
          <w:p w14:paraId="00B210A6">
            <w:pPr>
              <w:keepNext w:val="0"/>
              <w:keepLines w:val="0"/>
              <w:pageBreakBefore w:val="0"/>
              <w:widowControl w:val="0"/>
              <w:kinsoku/>
              <w:wordWrap/>
              <w:overflowPunct/>
              <w:topLinePunct w:val="0"/>
              <w:autoSpaceDE/>
              <w:autoSpaceDN/>
              <w:bidi w:val="0"/>
              <w:spacing w:line="560" w:lineRule="exact"/>
              <w:contextualSpacing/>
              <w:jc w:val="center"/>
              <w:textAlignment w:val="auto"/>
              <w:rPr>
                <w:rFonts w:hint="eastAsia" w:ascii="仿宋_GB2312" w:hAnsi="仿宋_GB2312" w:eastAsia="黑体" w:cs="仿宋_GB2312"/>
                <w:color w:val="auto"/>
                <w:sz w:val="32"/>
                <w:szCs w:val="32"/>
                <w:highlight w:val="none"/>
                <w:lang w:eastAsia="zh-CN"/>
              </w:rPr>
            </w:pPr>
            <w:r>
              <w:rPr>
                <w:rFonts w:hint="eastAsia" w:ascii="黑体" w:hAnsi="黑体" w:eastAsia="黑体" w:cs="仿宋_GB2312"/>
                <w:color w:val="auto"/>
                <w:spacing w:val="0"/>
                <w:sz w:val="32"/>
                <w:szCs w:val="32"/>
                <w:highlight w:val="none"/>
              </w:rPr>
              <w:t>专栏</w:t>
            </w:r>
            <w:r>
              <w:rPr>
                <w:rFonts w:hint="eastAsia" w:ascii="黑体" w:hAnsi="黑体" w:eastAsia="黑体" w:cs="仿宋_GB2312"/>
                <w:color w:val="auto"/>
                <w:spacing w:val="0"/>
                <w:sz w:val="32"/>
                <w:szCs w:val="32"/>
                <w:highlight w:val="none"/>
                <w:lang w:val="en-US" w:eastAsia="zh-CN"/>
              </w:rPr>
              <w:t>8</w:t>
            </w:r>
            <w:r>
              <w:rPr>
                <w:rFonts w:hint="eastAsia" w:ascii="黑体" w:hAnsi="黑体" w:eastAsia="黑体" w:cs="仿宋_GB2312"/>
                <w:color w:val="auto"/>
                <w:spacing w:val="0"/>
                <w:sz w:val="32"/>
                <w:szCs w:val="32"/>
                <w:highlight w:val="none"/>
              </w:rPr>
              <w:t xml:space="preserve"> </w:t>
            </w:r>
            <w:r>
              <w:rPr>
                <w:rFonts w:hint="eastAsia" w:ascii="黑体" w:hAnsi="黑体" w:eastAsia="黑体" w:cs="仿宋_GB2312"/>
                <w:color w:val="auto"/>
                <w:spacing w:val="0"/>
                <w:sz w:val="32"/>
                <w:szCs w:val="32"/>
                <w:highlight w:val="none"/>
                <w:lang w:eastAsia="zh-CN"/>
              </w:rPr>
              <w:t>劳动者权益保障行动</w:t>
            </w:r>
          </w:p>
        </w:tc>
      </w:tr>
      <w:tr w14:paraId="40E551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819" w:type="dxa"/>
            <w:tcBorders>
              <w:top w:val="single" w:color="000000" w:sz="4" w:space="0"/>
              <w:left w:val="single" w:color="000000" w:sz="4" w:space="0"/>
              <w:bottom w:val="single" w:color="000000" w:sz="4" w:space="0"/>
              <w:right w:val="single" w:color="000000" w:sz="4" w:space="0"/>
            </w:tcBorders>
            <w:noWrap w:val="0"/>
            <w:vAlign w:val="top"/>
          </w:tcPr>
          <w:p w14:paraId="580B3CF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contextualSpacing/>
              <w:textAlignment w:val="auto"/>
              <w:rPr>
                <w:rFonts w:hint="eastAsia" w:ascii="楷体_GB2312" w:hAnsi="楷体_GB2312" w:eastAsia="仿宋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1.清理整顿人力资源市场秩序专项行动。</w:t>
            </w:r>
            <w:r>
              <w:rPr>
                <w:rFonts w:hint="eastAsia" w:ascii="仿宋_GB2312" w:hAnsi="仿宋_GB2312" w:eastAsia="仿宋_GB2312" w:cs="仿宋_GB2312"/>
                <w:sz w:val="32"/>
                <w:szCs w:val="32"/>
              </w:rPr>
              <w:t>严厉打击虚假招聘、</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黑中介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“培训贷”、“招转培”、滥用试用期、无故解约等违法行为，坚决纠正</w:t>
            </w:r>
            <w:r>
              <w:rPr>
                <w:rFonts w:hint="eastAsia" w:ascii="仿宋_GB2312" w:hAnsi="仿宋_GB2312" w:eastAsia="仿宋_GB2312" w:cs="仿宋_GB2312"/>
                <w:sz w:val="32"/>
                <w:szCs w:val="32"/>
                <w:lang w:val="en-US" w:eastAsia="zh-CN"/>
              </w:rPr>
              <w:t>欠薪、</w:t>
            </w:r>
            <w:r>
              <w:rPr>
                <w:rFonts w:hint="eastAsia" w:ascii="仿宋_GB2312" w:hAnsi="仿宋_GB2312" w:eastAsia="仿宋_GB2312" w:cs="仿宋_GB2312"/>
                <w:sz w:val="32"/>
                <w:szCs w:val="32"/>
              </w:rPr>
              <w:t>就业歧视。</w:t>
            </w:r>
            <w:r>
              <w:rPr>
                <w:rFonts w:hint="eastAsia" w:ascii="仿宋_GB2312" w:hAnsi="仿宋_GB2312" w:eastAsia="仿宋_GB2312" w:cs="仿宋_GB2312"/>
                <w:sz w:val="32"/>
                <w:szCs w:val="32"/>
                <w:lang w:val="en-US" w:eastAsia="zh-CN"/>
              </w:rPr>
              <w:t>及时回应群众投诉举报诉求，</w:t>
            </w:r>
            <w:r>
              <w:rPr>
                <w:rFonts w:hint="eastAsia" w:ascii="仿宋_GB2312" w:hAnsi="仿宋_GB2312" w:eastAsia="仿宋_GB2312" w:cs="仿宋_GB2312"/>
                <w:sz w:val="32"/>
                <w:szCs w:val="32"/>
              </w:rPr>
              <w:t>发布</w:t>
            </w:r>
            <w:r>
              <w:rPr>
                <w:rFonts w:hint="eastAsia" w:ascii="仿宋_GB2312" w:hAnsi="仿宋_GB2312" w:eastAsia="仿宋_GB2312" w:cs="仿宋_GB2312"/>
                <w:sz w:val="32"/>
                <w:szCs w:val="32"/>
                <w:lang w:val="en-US" w:eastAsia="zh-CN"/>
              </w:rPr>
              <w:t>防范</w:t>
            </w:r>
            <w:r>
              <w:rPr>
                <w:rFonts w:hint="eastAsia" w:ascii="仿宋_GB2312" w:hAnsi="仿宋_GB2312" w:eastAsia="仿宋_GB2312" w:cs="仿宋_GB2312"/>
                <w:sz w:val="32"/>
                <w:szCs w:val="32"/>
              </w:rPr>
              <w:t>求职陷阱提醒，曝光典型案例</w:t>
            </w:r>
            <w:r>
              <w:rPr>
                <w:rFonts w:hint="eastAsia" w:ascii="仿宋_GB2312" w:hAnsi="仿宋_GB2312" w:eastAsia="仿宋_GB2312" w:cs="仿宋_GB2312"/>
                <w:sz w:val="32"/>
                <w:szCs w:val="32"/>
                <w:lang w:eastAsia="zh-CN"/>
              </w:rPr>
              <w:t>。</w:t>
            </w:r>
          </w:p>
          <w:p w14:paraId="054EB5F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contextualSpacing/>
              <w:textAlignment w:val="auto"/>
              <w:rPr>
                <w:rFonts w:hint="default"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2.</w:t>
            </w:r>
            <w:r>
              <w:rPr>
                <w:rFonts w:hint="eastAsia" w:ascii="楷体_GB2312" w:hAnsi="楷体_GB2312" w:eastAsia="楷体_GB2312" w:cs="楷体_GB2312"/>
                <w:color w:val="auto"/>
                <w:sz w:val="32"/>
                <w:szCs w:val="32"/>
                <w:lang w:val="en-US" w:eastAsia="zh-CN"/>
              </w:rPr>
              <w:t>开展治理欠薪专项行动。</w:t>
            </w:r>
            <w:r>
              <w:rPr>
                <w:rFonts w:hint="eastAsia" w:ascii="仿宋_GB2312" w:hAnsi="仿宋_GB2312" w:eastAsia="仿宋_GB2312" w:cs="仿宋_GB2312"/>
                <w:color w:val="auto"/>
                <w:sz w:val="32"/>
                <w:szCs w:val="32"/>
                <w:lang w:val="en-US" w:eastAsia="zh-CN"/>
              </w:rPr>
              <w:t>以内蒙古自治区工程建设领域农牧民工工资支付监控预警平台为抓手，强化工程建设领域劳动用工动态监管。与行业主管部门联合开展日常监管，坚持源头治理、预防为主的工作思路和“管行业必须管欠薪、管项目必须管欠薪、管资金必须管欠薪”的工作原则，狠抓“常态化、信息化、规范化”治欠工作，推进“治欠”向“防欠”转变。</w:t>
            </w:r>
          </w:p>
        </w:tc>
      </w:tr>
    </w:tbl>
    <w:p w14:paraId="6BD4B5A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（三）健全多层次社会保障体系。</w:t>
      </w:r>
      <w:r>
        <w:rPr>
          <w:rFonts w:hint="eastAsia" w:ascii="仿宋_GB2312" w:hAnsi="仿宋_GB2312" w:eastAsia="仿宋_GB2312" w:cs="仿宋_GB2312"/>
          <w:color w:val="auto"/>
          <w:sz w:val="32"/>
          <w:szCs w:val="32"/>
          <w:lang w:val="en-US" w:eastAsia="zh-CN"/>
        </w:rPr>
        <w:t>加快发展多层次、多支柱养老保险体系，扩大企业年金覆盖范围，全面实施个人养老金制度。持续提高职工基本医疗保险参保人数占比，推动失业保险、工伤保险向职业劳动者广泛覆盖。完善灵活就业、农牧民工、新就业形态劳动者社会保险政策，优化社保转移接续政策。推广“智慧社保”服务，为参保群众提供更加便捷高效的服务。</w:t>
      </w:r>
    </w:p>
    <w:p w14:paraId="383CDC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十、强化就业监测预警和风险应对</w:t>
      </w:r>
    </w:p>
    <w:p w14:paraId="0D7D28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（一）加强失业风险监测和应对。</w:t>
      </w:r>
      <w:r>
        <w:rPr>
          <w:rFonts w:hint="eastAsia" w:ascii="仿宋_GB2312" w:hAnsi="仿宋_GB2312" w:eastAsia="仿宋_GB2312" w:cs="仿宋_GB2312"/>
          <w:color w:val="auto"/>
          <w:sz w:val="32"/>
          <w:szCs w:val="32"/>
          <w:lang w:val="en-US" w:eastAsia="zh-CN"/>
        </w:rPr>
        <w:t>建立跨部门协调数据共享机制，整合社会保险、移动支付、工业用电等数据资源，动态监测就业规模、结构、企业用工等变化情况，掌握劳动力市场动态。完善就业风险应急处置预案，细化处置流程、厘清责任分工、落实配套保障，构建风险早发现、早预警、早处置的工作机制。加强人工智能等技术密集型应用的重点行业动态分析，完善技能培训、转岗支持等应对措施。</w:t>
      </w:r>
    </w:p>
    <w:p w14:paraId="53F15DF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楷体_GB2312" w:hAnsi="楷体_GB2312" w:eastAsia="楷体_GB2312" w:cs="楷体_GB2312"/>
          <w:color w:val="auto"/>
          <w:sz w:val="32"/>
          <w:szCs w:val="32"/>
          <w:lang w:val="en-US" w:eastAsia="zh-CN"/>
        </w:rPr>
        <w:t>（二）加强就业形势分析。</w:t>
      </w:r>
      <w:r>
        <w:rPr>
          <w:rFonts w:hint="eastAsia" w:ascii="仿宋_GB2312" w:hAnsi="仿宋_GB2312" w:eastAsia="仿宋_GB2312" w:cs="仿宋_GB2312"/>
          <w:color w:val="auto"/>
          <w:sz w:val="32"/>
          <w:szCs w:val="32"/>
          <w:lang w:val="en-US" w:eastAsia="zh-CN"/>
        </w:rPr>
        <w:t>整合就业统计、市场招聘、大数据监测等各类民生就业数据，结合本地产业转型升级、人口结构动态变动、智能化技术普及应用等关键要素，常态化开展就业形势动态监测、数据分析，精准把握就业市场运行规律。建立重点地区、重点行业企业、重点群体就业检测和风险预警体系，提升就业风险监测预警能力。规范就业形势信息发布工作，及时推送权威数据与政策解读，完善规模性失业风险防范化解机制。</w:t>
      </w:r>
    </w:p>
    <w:p w14:paraId="3C23FAE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十一、凝聚促进高质量充分就业的工作合力</w:t>
      </w:r>
    </w:p>
    <w:p w14:paraId="6294260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（一）加强组织领导。</w:t>
      </w:r>
      <w:r>
        <w:rPr>
          <w:rFonts w:hint="eastAsia" w:ascii="仿宋_GB2312" w:hAnsi="仿宋_GB2312" w:eastAsia="仿宋_GB2312" w:cs="仿宋_GB2312"/>
          <w:color w:val="auto"/>
          <w:sz w:val="32"/>
          <w:szCs w:val="32"/>
          <w:lang w:val="en-US" w:eastAsia="zh-CN"/>
        </w:rPr>
        <w:t>坚持把党的领导贯彻到就业工作的各个领域、各个方面，把就业当做民生头等大事。强化组织协调、健全联动机制，充分发挥就业促进和劳动保护协调机制作用，加强统筹谋划，凝聚工作合力。赤峰市发展改革委、人力资源和社会保障局要强化对规划实施情况的监测评估，定期对目标完成情况、工作落实成效、项目推进进度开展跟踪分析。</w:t>
      </w:r>
    </w:p>
    <w:p w14:paraId="3670033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（二）强化资金保障。</w:t>
      </w:r>
      <w:r>
        <w:rPr>
          <w:rFonts w:hint="eastAsia" w:ascii="仿宋_GB2312" w:hAnsi="仿宋_GB2312" w:eastAsia="仿宋_GB2312" w:cs="仿宋_GB2312"/>
          <w:b w:val="0"/>
          <w:bCs w:val="0"/>
          <w:i w:val="0"/>
          <w:iCs w:val="0"/>
          <w:caps w:val="0"/>
          <w:color w:val="auto"/>
          <w:spacing w:val="0"/>
          <w:sz w:val="32"/>
          <w:szCs w:val="32"/>
          <w:shd w:val="clear" w:fill="FFFFFF"/>
        </w:rPr>
        <w:t>统筹用好中央和自治区就业补助资金，加大市、</w:t>
      </w:r>
      <w:r>
        <w:rPr>
          <w:rFonts w:hint="eastAsia" w:ascii="仿宋_GB2312" w:hAnsi="仿宋_GB2312" w:eastAsia="仿宋_GB2312" w:cs="仿宋_GB2312"/>
          <w:b w:val="0"/>
          <w:bCs w:val="0"/>
          <w:i w:val="0"/>
          <w:iCs w:val="0"/>
          <w:caps w:val="0"/>
          <w:color w:val="auto"/>
          <w:spacing w:val="0"/>
          <w:sz w:val="32"/>
          <w:szCs w:val="32"/>
          <w:shd w:val="clear" w:fill="FFFFFF"/>
          <w:lang w:eastAsia="zh-CN"/>
        </w:rPr>
        <w:t>县</w:t>
      </w:r>
      <w:r>
        <w:rPr>
          <w:rFonts w:hint="eastAsia" w:ascii="仿宋_GB2312" w:hAnsi="仿宋_GB2312" w:eastAsia="仿宋_GB2312" w:cs="仿宋_GB2312"/>
          <w:b w:val="0"/>
          <w:bCs w:val="0"/>
          <w:i w:val="0"/>
          <w:iCs w:val="0"/>
          <w:caps w:val="0"/>
          <w:color w:val="auto"/>
          <w:spacing w:val="0"/>
          <w:sz w:val="32"/>
          <w:szCs w:val="32"/>
          <w:shd w:val="clear" w:fill="FFFFFF"/>
        </w:rPr>
        <w:t>两级财政就业</w:t>
      </w:r>
      <w:r>
        <w:rPr>
          <w:rFonts w:hint="eastAsia" w:ascii="仿宋_GB2312" w:hAnsi="仿宋_GB2312" w:eastAsia="仿宋_GB2312" w:cs="仿宋_GB2312"/>
          <w:b w:val="0"/>
          <w:bCs w:val="0"/>
          <w:i w:val="0"/>
          <w:iCs w:val="0"/>
          <w:caps w:val="0"/>
          <w:color w:val="auto"/>
          <w:spacing w:val="0"/>
          <w:sz w:val="32"/>
          <w:szCs w:val="32"/>
          <w:shd w:val="clear" w:fill="FFFFFF"/>
          <w:lang w:eastAsia="zh-CN"/>
        </w:rPr>
        <w:t>补助</w:t>
      </w:r>
      <w:r>
        <w:rPr>
          <w:rFonts w:hint="eastAsia" w:ascii="仿宋_GB2312" w:hAnsi="仿宋_GB2312" w:eastAsia="仿宋_GB2312" w:cs="仿宋_GB2312"/>
          <w:b w:val="0"/>
          <w:bCs w:val="0"/>
          <w:i w:val="0"/>
          <w:iCs w:val="0"/>
          <w:caps w:val="0"/>
          <w:color w:val="auto"/>
          <w:spacing w:val="0"/>
          <w:sz w:val="32"/>
          <w:szCs w:val="32"/>
          <w:shd w:val="clear" w:fill="FFFFFF"/>
        </w:rPr>
        <w:t>资金投入力</w:t>
      </w:r>
      <w:r>
        <w:rPr>
          <w:rFonts w:hint="eastAsia" w:ascii="仿宋_GB2312" w:hAnsi="仿宋_GB2312" w:eastAsia="仿宋_GB2312" w:cs="仿宋_GB2312"/>
          <w:color w:val="auto"/>
          <w:sz w:val="32"/>
          <w:szCs w:val="32"/>
          <w:lang w:val="en-US" w:eastAsia="zh-CN"/>
        </w:rPr>
        <w:t>度。保障资金及时足额兑付，坚决杜绝挪用占用，确保就业补助资金充分发挥最大效益。</w:t>
      </w:r>
    </w:p>
    <w:p w14:paraId="7B8AD0F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color w:val="auto"/>
          <w:sz w:val="32"/>
          <w:szCs w:val="32"/>
          <w:lang w:val="en-US" w:eastAsia="zh-CN"/>
        </w:rPr>
        <w:t>（三）加强宣传引导。</w:t>
      </w:r>
      <w:r>
        <w:rPr>
          <w:rFonts w:hint="eastAsia" w:ascii="仿宋_GB2312" w:hAnsi="仿宋_GB2312" w:eastAsia="仿宋_GB2312" w:cs="仿宋_GB2312"/>
          <w:sz w:val="32"/>
          <w:szCs w:val="32"/>
        </w:rPr>
        <w:t>推动各地区各部门及时发布就业岗位信息，强化就业政策宣传解读，宣传推广就业典型案例，积极引导全社会树立正确择业观，</w:t>
      </w:r>
      <w:r>
        <w:rPr>
          <w:rFonts w:hint="eastAsia" w:ascii="仿宋_GB2312" w:hAnsi="仿宋_GB2312" w:eastAsia="仿宋_GB2312" w:cs="仿宋_GB2312"/>
          <w:color w:val="auto"/>
          <w:sz w:val="32"/>
          <w:szCs w:val="32"/>
          <w:highlight w:val="none"/>
          <w:lang w:val="en-US" w:eastAsia="zh-CN"/>
        </w:rPr>
        <w:t>强化正向舆论引导，</w:t>
      </w:r>
      <w:r>
        <w:rPr>
          <w:rFonts w:hint="eastAsia" w:ascii="仿宋_GB2312" w:hAnsi="仿宋_GB2312" w:eastAsia="仿宋_GB2312" w:cs="仿宋_GB2312"/>
          <w:sz w:val="32"/>
          <w:szCs w:val="32"/>
        </w:rPr>
        <w:t>营造</w:t>
      </w:r>
      <w:r>
        <w:rPr>
          <w:rFonts w:hint="eastAsia" w:ascii="仿宋_GB2312" w:hAnsi="仿宋_GB2312" w:eastAsia="仿宋_GB2312" w:cs="仿宋_GB2312"/>
          <w:color w:val="auto"/>
          <w:sz w:val="32"/>
          <w:szCs w:val="32"/>
          <w:highlight w:val="none"/>
          <w:lang w:val="en-US" w:eastAsia="zh-CN"/>
        </w:rPr>
        <w:t>尊重劳动、支持就业创业</w:t>
      </w:r>
      <w:r>
        <w:rPr>
          <w:rFonts w:hint="eastAsia" w:ascii="仿宋_GB2312" w:hAnsi="仿宋_GB2312" w:eastAsia="仿宋_GB2312" w:cs="仿宋_GB2312"/>
          <w:sz w:val="32"/>
          <w:szCs w:val="32"/>
        </w:rPr>
        <w:t>的良好</w:t>
      </w:r>
      <w:r>
        <w:rPr>
          <w:rFonts w:hint="eastAsia" w:ascii="仿宋_GB2312" w:hAnsi="仿宋_GB2312" w:eastAsia="仿宋_GB2312" w:cs="仿宋_GB2312"/>
          <w:sz w:val="32"/>
          <w:szCs w:val="32"/>
          <w:lang w:eastAsia="zh-CN"/>
        </w:rPr>
        <w:t>社会</w:t>
      </w:r>
      <w:r>
        <w:rPr>
          <w:rFonts w:hint="eastAsia" w:ascii="仿宋_GB2312" w:hAnsi="仿宋_GB2312" w:eastAsia="仿宋_GB2312" w:cs="仿宋_GB2312"/>
          <w:sz w:val="32"/>
          <w:szCs w:val="32"/>
        </w:rPr>
        <w:t>氛围</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38985EC-FF58-4233-B9E8-EABF3AD1073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0010101010101"/>
    <w:charset w:val="86"/>
    <w:family w:val="auto"/>
    <w:pitch w:val="default"/>
    <w:sig w:usb0="00000001" w:usb1="080E0000" w:usb2="00000000" w:usb3="00000000" w:csb0="00040000" w:csb1="00000000"/>
    <w:embedRegular r:id="rId2" w:fontKey="{4027182F-FE24-49A5-AA27-F2417A6A89F0}"/>
  </w:font>
  <w:font w:name="楷体_GB2312">
    <w:panose1 w:val="02010609030101010101"/>
    <w:charset w:val="86"/>
    <w:family w:val="auto"/>
    <w:pitch w:val="default"/>
    <w:sig w:usb0="00000001" w:usb1="080E0000" w:usb2="00000000" w:usb3="00000000" w:csb0="00040000" w:csb1="00000000"/>
    <w:embedRegular r:id="rId3" w:fontKey="{AB61DF4F-76DD-4B57-859B-995037C89703}"/>
  </w:font>
  <w:font w:name="仿宋_GB2312">
    <w:panose1 w:val="02010609030101010101"/>
    <w:charset w:val="86"/>
    <w:family w:val="auto"/>
    <w:pitch w:val="default"/>
    <w:sig w:usb0="00000001" w:usb1="080E0000" w:usb2="00000000" w:usb3="00000000" w:csb0="00040000" w:csb1="00000000"/>
    <w:embedRegular r:id="rId4" w:fontKey="{ABDC489E-33F7-41E9-8A61-F99796A96409}"/>
  </w:font>
  <w:font w:name="FreeSerif">
    <w:altName w:val="Traditional Arabic"/>
    <w:panose1 w:val="02020603050405020304"/>
    <w:charset w:val="00"/>
    <w:family w:val="roman"/>
    <w:pitch w:val="default"/>
    <w:sig w:usb0="00000000" w:usb1="00000000" w:usb2="43501B29" w:usb3="04000043" w:csb0="600101FF" w:csb1="FFFF0000"/>
    <w:embedRegular r:id="rId5" w:fontKey="{AF27EE95-C3A4-4251-A3C4-5832B6C6B789}"/>
  </w:font>
  <w:font w:name="Traditional Arabic">
    <w:panose1 w:val="02020603050405020304"/>
    <w:charset w:val="00"/>
    <w:family w:val="auto"/>
    <w:pitch w:val="default"/>
    <w:sig w:usb0="00006003" w:usb1="80000000" w:usb2="00000008" w:usb3="00000000" w:csb0="00000041" w:csb1="200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1275D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19E1B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E19E1B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5102A0"/>
    <w:rsid w:val="005F037B"/>
    <w:rsid w:val="00DA58E7"/>
    <w:rsid w:val="0172557B"/>
    <w:rsid w:val="017612A2"/>
    <w:rsid w:val="01D040C0"/>
    <w:rsid w:val="01D9415D"/>
    <w:rsid w:val="02290C40"/>
    <w:rsid w:val="022C0730"/>
    <w:rsid w:val="0268276F"/>
    <w:rsid w:val="029D33DC"/>
    <w:rsid w:val="02BC7D06"/>
    <w:rsid w:val="02DF57A3"/>
    <w:rsid w:val="02F0687C"/>
    <w:rsid w:val="02F57CEF"/>
    <w:rsid w:val="036B5251"/>
    <w:rsid w:val="03AE6101"/>
    <w:rsid w:val="04042D9A"/>
    <w:rsid w:val="0442248D"/>
    <w:rsid w:val="04B073F7"/>
    <w:rsid w:val="04C26E4D"/>
    <w:rsid w:val="050F1997"/>
    <w:rsid w:val="051160A8"/>
    <w:rsid w:val="054B35C3"/>
    <w:rsid w:val="05A84572"/>
    <w:rsid w:val="064343A2"/>
    <w:rsid w:val="064A73D7"/>
    <w:rsid w:val="06562220"/>
    <w:rsid w:val="07450212"/>
    <w:rsid w:val="07653F8E"/>
    <w:rsid w:val="07656795"/>
    <w:rsid w:val="0777244E"/>
    <w:rsid w:val="077D28F0"/>
    <w:rsid w:val="07A316B9"/>
    <w:rsid w:val="07BB67DE"/>
    <w:rsid w:val="07DA631D"/>
    <w:rsid w:val="080B2B96"/>
    <w:rsid w:val="08110E03"/>
    <w:rsid w:val="084B7E02"/>
    <w:rsid w:val="084C55D0"/>
    <w:rsid w:val="087846CF"/>
    <w:rsid w:val="08836BA4"/>
    <w:rsid w:val="08D85501"/>
    <w:rsid w:val="092108C3"/>
    <w:rsid w:val="0921401C"/>
    <w:rsid w:val="095261E2"/>
    <w:rsid w:val="09813E4D"/>
    <w:rsid w:val="098A0EEC"/>
    <w:rsid w:val="098C2533"/>
    <w:rsid w:val="09D75F4D"/>
    <w:rsid w:val="09DB4F16"/>
    <w:rsid w:val="0A0B59BA"/>
    <w:rsid w:val="0A6D2DC5"/>
    <w:rsid w:val="0A850141"/>
    <w:rsid w:val="0A8B2189"/>
    <w:rsid w:val="0AA45498"/>
    <w:rsid w:val="0ABB157D"/>
    <w:rsid w:val="0B0954D3"/>
    <w:rsid w:val="0B903AE8"/>
    <w:rsid w:val="0BBC2E19"/>
    <w:rsid w:val="0BE20FA2"/>
    <w:rsid w:val="0BF9781D"/>
    <w:rsid w:val="0C1D6200"/>
    <w:rsid w:val="0C394176"/>
    <w:rsid w:val="0C640956"/>
    <w:rsid w:val="0CCD48BE"/>
    <w:rsid w:val="0D1A3BAA"/>
    <w:rsid w:val="0D654873"/>
    <w:rsid w:val="0D6D5659"/>
    <w:rsid w:val="0E746D6E"/>
    <w:rsid w:val="0EF12AE6"/>
    <w:rsid w:val="0F346E76"/>
    <w:rsid w:val="0F6100E7"/>
    <w:rsid w:val="0F9126B9"/>
    <w:rsid w:val="0FC535FB"/>
    <w:rsid w:val="0FCE72CB"/>
    <w:rsid w:val="0FE64614"/>
    <w:rsid w:val="0FE8038D"/>
    <w:rsid w:val="0FED0B2A"/>
    <w:rsid w:val="0FFD5900"/>
    <w:rsid w:val="10411EAC"/>
    <w:rsid w:val="108D683E"/>
    <w:rsid w:val="1090553E"/>
    <w:rsid w:val="10967DE9"/>
    <w:rsid w:val="10B206E1"/>
    <w:rsid w:val="10EC7A09"/>
    <w:rsid w:val="110220E2"/>
    <w:rsid w:val="111854CF"/>
    <w:rsid w:val="116021A5"/>
    <w:rsid w:val="11674BE8"/>
    <w:rsid w:val="11881259"/>
    <w:rsid w:val="119F74B6"/>
    <w:rsid w:val="120D3913"/>
    <w:rsid w:val="121A2353"/>
    <w:rsid w:val="122C42D5"/>
    <w:rsid w:val="123309E3"/>
    <w:rsid w:val="1260164A"/>
    <w:rsid w:val="127952CC"/>
    <w:rsid w:val="1290712B"/>
    <w:rsid w:val="12977E48"/>
    <w:rsid w:val="12AB744F"/>
    <w:rsid w:val="12C119AD"/>
    <w:rsid w:val="12EF1A32"/>
    <w:rsid w:val="13632514"/>
    <w:rsid w:val="136410DB"/>
    <w:rsid w:val="13703313"/>
    <w:rsid w:val="13916645"/>
    <w:rsid w:val="139E0D62"/>
    <w:rsid w:val="13E40079"/>
    <w:rsid w:val="13EA198F"/>
    <w:rsid w:val="14D728AA"/>
    <w:rsid w:val="14E659BE"/>
    <w:rsid w:val="14FE5904"/>
    <w:rsid w:val="15111121"/>
    <w:rsid w:val="15127C5A"/>
    <w:rsid w:val="15231304"/>
    <w:rsid w:val="15786792"/>
    <w:rsid w:val="15B87FA8"/>
    <w:rsid w:val="15E2587E"/>
    <w:rsid w:val="15EC4007"/>
    <w:rsid w:val="15FF37E4"/>
    <w:rsid w:val="160F2F88"/>
    <w:rsid w:val="162158B5"/>
    <w:rsid w:val="16315EBE"/>
    <w:rsid w:val="16536075"/>
    <w:rsid w:val="166C48F0"/>
    <w:rsid w:val="17210DCB"/>
    <w:rsid w:val="173C0FBE"/>
    <w:rsid w:val="1749109F"/>
    <w:rsid w:val="184A3267"/>
    <w:rsid w:val="186B1B5B"/>
    <w:rsid w:val="18F71187"/>
    <w:rsid w:val="19070360"/>
    <w:rsid w:val="19234BE2"/>
    <w:rsid w:val="196E3AC3"/>
    <w:rsid w:val="197B46ED"/>
    <w:rsid w:val="197E75B3"/>
    <w:rsid w:val="19C725C1"/>
    <w:rsid w:val="1A383CBF"/>
    <w:rsid w:val="1A463691"/>
    <w:rsid w:val="1A544A5F"/>
    <w:rsid w:val="1AB570BD"/>
    <w:rsid w:val="1ABF1605"/>
    <w:rsid w:val="1ABF618E"/>
    <w:rsid w:val="1AE14A63"/>
    <w:rsid w:val="1B3375EC"/>
    <w:rsid w:val="1B7C7BDB"/>
    <w:rsid w:val="1BF76258"/>
    <w:rsid w:val="1C275BF1"/>
    <w:rsid w:val="1C457700"/>
    <w:rsid w:val="1C56667E"/>
    <w:rsid w:val="1C5F19D6"/>
    <w:rsid w:val="1C964CCC"/>
    <w:rsid w:val="1CD75A11"/>
    <w:rsid w:val="1D35233A"/>
    <w:rsid w:val="1D45376E"/>
    <w:rsid w:val="1D5F1562"/>
    <w:rsid w:val="1D642222"/>
    <w:rsid w:val="1D727614"/>
    <w:rsid w:val="1D7D4756"/>
    <w:rsid w:val="1DA531CD"/>
    <w:rsid w:val="1DBE097F"/>
    <w:rsid w:val="1E0839A8"/>
    <w:rsid w:val="1EC26005"/>
    <w:rsid w:val="1F00091D"/>
    <w:rsid w:val="1F10520A"/>
    <w:rsid w:val="1F4D3D68"/>
    <w:rsid w:val="1F525822"/>
    <w:rsid w:val="1F890B18"/>
    <w:rsid w:val="1FA72D40"/>
    <w:rsid w:val="1FAD1D30"/>
    <w:rsid w:val="20476A09"/>
    <w:rsid w:val="20B27251"/>
    <w:rsid w:val="213E63B9"/>
    <w:rsid w:val="215533A8"/>
    <w:rsid w:val="21AF4EAB"/>
    <w:rsid w:val="220259E1"/>
    <w:rsid w:val="224551CB"/>
    <w:rsid w:val="22D14CB0"/>
    <w:rsid w:val="23575011"/>
    <w:rsid w:val="235B6BA2"/>
    <w:rsid w:val="237C4C1C"/>
    <w:rsid w:val="238166D6"/>
    <w:rsid w:val="23BA3996"/>
    <w:rsid w:val="23C6058D"/>
    <w:rsid w:val="23D12B20"/>
    <w:rsid w:val="242B0A77"/>
    <w:rsid w:val="24523BCF"/>
    <w:rsid w:val="2470137C"/>
    <w:rsid w:val="2472601F"/>
    <w:rsid w:val="24931081"/>
    <w:rsid w:val="249F555F"/>
    <w:rsid w:val="24C02E6E"/>
    <w:rsid w:val="24F86524"/>
    <w:rsid w:val="25237319"/>
    <w:rsid w:val="257B0F03"/>
    <w:rsid w:val="258745F1"/>
    <w:rsid w:val="25901C25"/>
    <w:rsid w:val="25E12706"/>
    <w:rsid w:val="263F5CEB"/>
    <w:rsid w:val="26955416"/>
    <w:rsid w:val="26B331B7"/>
    <w:rsid w:val="26D62895"/>
    <w:rsid w:val="26F86CAF"/>
    <w:rsid w:val="27773728"/>
    <w:rsid w:val="27825D22"/>
    <w:rsid w:val="27D52B4D"/>
    <w:rsid w:val="28013DD0"/>
    <w:rsid w:val="281A0EA7"/>
    <w:rsid w:val="2860495C"/>
    <w:rsid w:val="286B0910"/>
    <w:rsid w:val="287C121A"/>
    <w:rsid w:val="287C784A"/>
    <w:rsid w:val="28A644E9"/>
    <w:rsid w:val="28ED3EC6"/>
    <w:rsid w:val="2907142C"/>
    <w:rsid w:val="290E15DF"/>
    <w:rsid w:val="29254939"/>
    <w:rsid w:val="296F0084"/>
    <w:rsid w:val="299D58EC"/>
    <w:rsid w:val="29DB3B34"/>
    <w:rsid w:val="29FA2D3E"/>
    <w:rsid w:val="29FB0F87"/>
    <w:rsid w:val="2A110D2B"/>
    <w:rsid w:val="2A24600D"/>
    <w:rsid w:val="2A9267F0"/>
    <w:rsid w:val="2AAB3F73"/>
    <w:rsid w:val="2AF43712"/>
    <w:rsid w:val="2B406E77"/>
    <w:rsid w:val="2B4C1378"/>
    <w:rsid w:val="2C1C0BA7"/>
    <w:rsid w:val="2C5A1C2A"/>
    <w:rsid w:val="2C8B5ED0"/>
    <w:rsid w:val="2C8F6CA4"/>
    <w:rsid w:val="2CBA4A07"/>
    <w:rsid w:val="2CD1678D"/>
    <w:rsid w:val="2CDE24A4"/>
    <w:rsid w:val="2CFE2B46"/>
    <w:rsid w:val="2D0B6466"/>
    <w:rsid w:val="2D142369"/>
    <w:rsid w:val="2D265D01"/>
    <w:rsid w:val="2D71156A"/>
    <w:rsid w:val="2D960E01"/>
    <w:rsid w:val="2DC86CB0"/>
    <w:rsid w:val="2E1843DC"/>
    <w:rsid w:val="2E3F3DC3"/>
    <w:rsid w:val="2E46509D"/>
    <w:rsid w:val="2E644C2A"/>
    <w:rsid w:val="2E6B1950"/>
    <w:rsid w:val="2EAC5B49"/>
    <w:rsid w:val="2EB84F76"/>
    <w:rsid w:val="2ECF6A3D"/>
    <w:rsid w:val="2ED55146"/>
    <w:rsid w:val="2F0A0C8E"/>
    <w:rsid w:val="2F641CAA"/>
    <w:rsid w:val="2F892B01"/>
    <w:rsid w:val="2FB55FCD"/>
    <w:rsid w:val="2FD302BA"/>
    <w:rsid w:val="30281C88"/>
    <w:rsid w:val="30406FD1"/>
    <w:rsid w:val="3049232A"/>
    <w:rsid w:val="309061AB"/>
    <w:rsid w:val="30A54BC8"/>
    <w:rsid w:val="31744900"/>
    <w:rsid w:val="319770C5"/>
    <w:rsid w:val="31F167D5"/>
    <w:rsid w:val="32364B30"/>
    <w:rsid w:val="323D5EBE"/>
    <w:rsid w:val="32E25437"/>
    <w:rsid w:val="32E77BD8"/>
    <w:rsid w:val="32EC5D21"/>
    <w:rsid w:val="32F12805"/>
    <w:rsid w:val="33072028"/>
    <w:rsid w:val="331B4ED5"/>
    <w:rsid w:val="33341FAF"/>
    <w:rsid w:val="33760A44"/>
    <w:rsid w:val="35112FB8"/>
    <w:rsid w:val="3533798B"/>
    <w:rsid w:val="356A1E79"/>
    <w:rsid w:val="356E5D06"/>
    <w:rsid w:val="358F18F4"/>
    <w:rsid w:val="35B00755"/>
    <w:rsid w:val="35BE0897"/>
    <w:rsid w:val="36B51277"/>
    <w:rsid w:val="36D16BD5"/>
    <w:rsid w:val="37024FE0"/>
    <w:rsid w:val="373B0191"/>
    <w:rsid w:val="37677539"/>
    <w:rsid w:val="376D0FF4"/>
    <w:rsid w:val="37945201"/>
    <w:rsid w:val="37D90437"/>
    <w:rsid w:val="385950D4"/>
    <w:rsid w:val="38653A79"/>
    <w:rsid w:val="38AB19B1"/>
    <w:rsid w:val="38BE13DB"/>
    <w:rsid w:val="391D4354"/>
    <w:rsid w:val="393A4BBC"/>
    <w:rsid w:val="397D1296"/>
    <w:rsid w:val="39972358"/>
    <w:rsid w:val="39AA35E8"/>
    <w:rsid w:val="39D50512"/>
    <w:rsid w:val="39DE4C33"/>
    <w:rsid w:val="3A0D04A4"/>
    <w:rsid w:val="3A152A57"/>
    <w:rsid w:val="3A881CA1"/>
    <w:rsid w:val="3ACC495B"/>
    <w:rsid w:val="3B660234"/>
    <w:rsid w:val="3B96683B"/>
    <w:rsid w:val="3BB40D8A"/>
    <w:rsid w:val="3BB6283D"/>
    <w:rsid w:val="3BBB1D2D"/>
    <w:rsid w:val="3BF82061"/>
    <w:rsid w:val="3C007004"/>
    <w:rsid w:val="3C0651CD"/>
    <w:rsid w:val="3C2765AA"/>
    <w:rsid w:val="3C4A1903"/>
    <w:rsid w:val="3C4E3E7B"/>
    <w:rsid w:val="3C683B38"/>
    <w:rsid w:val="3CA31014"/>
    <w:rsid w:val="3CA32DC2"/>
    <w:rsid w:val="3CBB3DC1"/>
    <w:rsid w:val="3CC77AC7"/>
    <w:rsid w:val="3CF24800"/>
    <w:rsid w:val="3D073351"/>
    <w:rsid w:val="3D2A0BD2"/>
    <w:rsid w:val="3D333800"/>
    <w:rsid w:val="3D626A4A"/>
    <w:rsid w:val="3D6469F5"/>
    <w:rsid w:val="3D7024E4"/>
    <w:rsid w:val="3DA7752E"/>
    <w:rsid w:val="3DD22421"/>
    <w:rsid w:val="3E077380"/>
    <w:rsid w:val="3E0A6B5C"/>
    <w:rsid w:val="3E864749"/>
    <w:rsid w:val="3EB017C6"/>
    <w:rsid w:val="3EB064BD"/>
    <w:rsid w:val="3EB772E5"/>
    <w:rsid w:val="3EBD56B8"/>
    <w:rsid w:val="3F2A1578"/>
    <w:rsid w:val="3F4B15C2"/>
    <w:rsid w:val="3F6C06EE"/>
    <w:rsid w:val="3F9D1A94"/>
    <w:rsid w:val="3FC96FE3"/>
    <w:rsid w:val="3FD85478"/>
    <w:rsid w:val="3FEE1E29"/>
    <w:rsid w:val="402050BD"/>
    <w:rsid w:val="403662B1"/>
    <w:rsid w:val="40687A6D"/>
    <w:rsid w:val="406E7B8B"/>
    <w:rsid w:val="408353E4"/>
    <w:rsid w:val="40880C4C"/>
    <w:rsid w:val="40A03485"/>
    <w:rsid w:val="40B97631"/>
    <w:rsid w:val="40CF687B"/>
    <w:rsid w:val="40E55D71"/>
    <w:rsid w:val="412E6800"/>
    <w:rsid w:val="41370662"/>
    <w:rsid w:val="413B777F"/>
    <w:rsid w:val="41551465"/>
    <w:rsid w:val="41594FBC"/>
    <w:rsid w:val="41C96DBA"/>
    <w:rsid w:val="425E3790"/>
    <w:rsid w:val="426D634C"/>
    <w:rsid w:val="429338D8"/>
    <w:rsid w:val="429D6505"/>
    <w:rsid w:val="42AE24C0"/>
    <w:rsid w:val="42B61141"/>
    <w:rsid w:val="42E56834"/>
    <w:rsid w:val="42E87AB1"/>
    <w:rsid w:val="43553876"/>
    <w:rsid w:val="43747266"/>
    <w:rsid w:val="43D70A3E"/>
    <w:rsid w:val="43F72CBA"/>
    <w:rsid w:val="445C4C7C"/>
    <w:rsid w:val="44705C7F"/>
    <w:rsid w:val="44727C49"/>
    <w:rsid w:val="44E65F41"/>
    <w:rsid w:val="4521501C"/>
    <w:rsid w:val="45801017"/>
    <w:rsid w:val="459A2FF4"/>
    <w:rsid w:val="45E310CD"/>
    <w:rsid w:val="45E701C3"/>
    <w:rsid w:val="45F66658"/>
    <w:rsid w:val="46464E05"/>
    <w:rsid w:val="466D7B13"/>
    <w:rsid w:val="47273729"/>
    <w:rsid w:val="476810C2"/>
    <w:rsid w:val="47876F78"/>
    <w:rsid w:val="479B74B7"/>
    <w:rsid w:val="47C87B80"/>
    <w:rsid w:val="47E744AA"/>
    <w:rsid w:val="47EE784F"/>
    <w:rsid w:val="48201796"/>
    <w:rsid w:val="48221986"/>
    <w:rsid w:val="48346666"/>
    <w:rsid w:val="48384D06"/>
    <w:rsid w:val="487277F9"/>
    <w:rsid w:val="48D82443"/>
    <w:rsid w:val="48DA400F"/>
    <w:rsid w:val="48DF33D4"/>
    <w:rsid w:val="48E33CD9"/>
    <w:rsid w:val="48FA1FBB"/>
    <w:rsid w:val="49051D27"/>
    <w:rsid w:val="492C67A2"/>
    <w:rsid w:val="493630B1"/>
    <w:rsid w:val="49831FB1"/>
    <w:rsid w:val="49C76CAB"/>
    <w:rsid w:val="4A392FB7"/>
    <w:rsid w:val="4AA67BEC"/>
    <w:rsid w:val="4AD63A3B"/>
    <w:rsid w:val="4AEB2504"/>
    <w:rsid w:val="4B3D6AD7"/>
    <w:rsid w:val="4C405568"/>
    <w:rsid w:val="4C4D3244"/>
    <w:rsid w:val="4C5B5C14"/>
    <w:rsid w:val="4C8E4032"/>
    <w:rsid w:val="4C9E7FBB"/>
    <w:rsid w:val="4CA46E0E"/>
    <w:rsid w:val="4CD3324F"/>
    <w:rsid w:val="4D155616"/>
    <w:rsid w:val="4D2512AF"/>
    <w:rsid w:val="4D7F6F33"/>
    <w:rsid w:val="4DCC4171"/>
    <w:rsid w:val="4DD146EF"/>
    <w:rsid w:val="4E0F521D"/>
    <w:rsid w:val="4E105DDD"/>
    <w:rsid w:val="4E290A32"/>
    <w:rsid w:val="4E4A5793"/>
    <w:rsid w:val="4E555EE6"/>
    <w:rsid w:val="4E65437B"/>
    <w:rsid w:val="4EAD4A8B"/>
    <w:rsid w:val="4F8E5B53"/>
    <w:rsid w:val="4FD31755"/>
    <w:rsid w:val="500E27F0"/>
    <w:rsid w:val="50290A0F"/>
    <w:rsid w:val="50A913AC"/>
    <w:rsid w:val="50DB1243"/>
    <w:rsid w:val="51241B8B"/>
    <w:rsid w:val="51255BEA"/>
    <w:rsid w:val="51752B27"/>
    <w:rsid w:val="5179233C"/>
    <w:rsid w:val="51B00003"/>
    <w:rsid w:val="522D3402"/>
    <w:rsid w:val="52A12453"/>
    <w:rsid w:val="533B14DA"/>
    <w:rsid w:val="53513E85"/>
    <w:rsid w:val="539C3490"/>
    <w:rsid w:val="53C14D9C"/>
    <w:rsid w:val="53C71634"/>
    <w:rsid w:val="53DE7084"/>
    <w:rsid w:val="541A7847"/>
    <w:rsid w:val="5426505B"/>
    <w:rsid w:val="546D3F89"/>
    <w:rsid w:val="546E1AAF"/>
    <w:rsid w:val="547B6AD0"/>
    <w:rsid w:val="54837309"/>
    <w:rsid w:val="55195EBF"/>
    <w:rsid w:val="55344AA7"/>
    <w:rsid w:val="55441147"/>
    <w:rsid w:val="554C0043"/>
    <w:rsid w:val="55A33E57"/>
    <w:rsid w:val="55BF2A09"/>
    <w:rsid w:val="55C972EF"/>
    <w:rsid w:val="56602D41"/>
    <w:rsid w:val="56A417B8"/>
    <w:rsid w:val="570448AC"/>
    <w:rsid w:val="570D735E"/>
    <w:rsid w:val="57F43251"/>
    <w:rsid w:val="58661882"/>
    <w:rsid w:val="5897538C"/>
    <w:rsid w:val="58C3061C"/>
    <w:rsid w:val="58D11629"/>
    <w:rsid w:val="58DF11CE"/>
    <w:rsid w:val="5919648E"/>
    <w:rsid w:val="596C4894"/>
    <w:rsid w:val="59742B43"/>
    <w:rsid w:val="59E051FD"/>
    <w:rsid w:val="5A1B6236"/>
    <w:rsid w:val="5A865B1D"/>
    <w:rsid w:val="5AC32B55"/>
    <w:rsid w:val="5B060C94"/>
    <w:rsid w:val="5B126ACB"/>
    <w:rsid w:val="5B3550D5"/>
    <w:rsid w:val="5B9020F0"/>
    <w:rsid w:val="5BA967D0"/>
    <w:rsid w:val="5BF22FC6"/>
    <w:rsid w:val="5BF60D08"/>
    <w:rsid w:val="5C515CA6"/>
    <w:rsid w:val="5CB14C2F"/>
    <w:rsid w:val="5CCC6A0E"/>
    <w:rsid w:val="5D123920"/>
    <w:rsid w:val="5D2D2508"/>
    <w:rsid w:val="5D8A795A"/>
    <w:rsid w:val="5D900CE9"/>
    <w:rsid w:val="5DA65023"/>
    <w:rsid w:val="5DC269C5"/>
    <w:rsid w:val="5DE13BCB"/>
    <w:rsid w:val="5DFE601A"/>
    <w:rsid w:val="5E287173"/>
    <w:rsid w:val="5E394EDC"/>
    <w:rsid w:val="5E542418"/>
    <w:rsid w:val="5E567302"/>
    <w:rsid w:val="5EBD3D5F"/>
    <w:rsid w:val="5F0B6879"/>
    <w:rsid w:val="5F2A71D2"/>
    <w:rsid w:val="5F372164"/>
    <w:rsid w:val="5F3C1128"/>
    <w:rsid w:val="5F5336A9"/>
    <w:rsid w:val="5F970079"/>
    <w:rsid w:val="5FF41E7F"/>
    <w:rsid w:val="60163727"/>
    <w:rsid w:val="603C0CB4"/>
    <w:rsid w:val="60423B49"/>
    <w:rsid w:val="606019B3"/>
    <w:rsid w:val="60B16E66"/>
    <w:rsid w:val="60BD425A"/>
    <w:rsid w:val="60D70261"/>
    <w:rsid w:val="60EC4488"/>
    <w:rsid w:val="60F1716F"/>
    <w:rsid w:val="60F90953"/>
    <w:rsid w:val="617B6212"/>
    <w:rsid w:val="61FB1490"/>
    <w:rsid w:val="62531EF0"/>
    <w:rsid w:val="62696FFB"/>
    <w:rsid w:val="62A97DAC"/>
    <w:rsid w:val="631D6C41"/>
    <w:rsid w:val="636724EC"/>
    <w:rsid w:val="63894210"/>
    <w:rsid w:val="643E324C"/>
    <w:rsid w:val="64D771FD"/>
    <w:rsid w:val="64DC3A26"/>
    <w:rsid w:val="650A75D2"/>
    <w:rsid w:val="650D2E93"/>
    <w:rsid w:val="65362175"/>
    <w:rsid w:val="65371BCF"/>
    <w:rsid w:val="653A1C66"/>
    <w:rsid w:val="65583F21"/>
    <w:rsid w:val="656E7B61"/>
    <w:rsid w:val="656F0D46"/>
    <w:rsid w:val="659B022A"/>
    <w:rsid w:val="65CA33E8"/>
    <w:rsid w:val="65D06126"/>
    <w:rsid w:val="65FA31A3"/>
    <w:rsid w:val="661324B7"/>
    <w:rsid w:val="66467226"/>
    <w:rsid w:val="6678063D"/>
    <w:rsid w:val="667D4800"/>
    <w:rsid w:val="669A63CC"/>
    <w:rsid w:val="66A15D14"/>
    <w:rsid w:val="66BE0674"/>
    <w:rsid w:val="66F353B3"/>
    <w:rsid w:val="670A6088"/>
    <w:rsid w:val="67132BEA"/>
    <w:rsid w:val="671D1314"/>
    <w:rsid w:val="671E2957"/>
    <w:rsid w:val="671F1965"/>
    <w:rsid w:val="6723579F"/>
    <w:rsid w:val="672C1A82"/>
    <w:rsid w:val="67587910"/>
    <w:rsid w:val="67591B93"/>
    <w:rsid w:val="67620061"/>
    <w:rsid w:val="67916664"/>
    <w:rsid w:val="68550B65"/>
    <w:rsid w:val="688218F9"/>
    <w:rsid w:val="68C66268"/>
    <w:rsid w:val="68DB550E"/>
    <w:rsid w:val="68FA5C6F"/>
    <w:rsid w:val="690E175B"/>
    <w:rsid w:val="69470DF5"/>
    <w:rsid w:val="69A4502E"/>
    <w:rsid w:val="6A114F5F"/>
    <w:rsid w:val="6A545194"/>
    <w:rsid w:val="6A8C6E85"/>
    <w:rsid w:val="6AD14E1A"/>
    <w:rsid w:val="6AE62CB7"/>
    <w:rsid w:val="6B040620"/>
    <w:rsid w:val="6B2111D2"/>
    <w:rsid w:val="6B376C47"/>
    <w:rsid w:val="6B6C2E6F"/>
    <w:rsid w:val="6B771155"/>
    <w:rsid w:val="6B8418A8"/>
    <w:rsid w:val="6BAE0CB8"/>
    <w:rsid w:val="6BC146C9"/>
    <w:rsid w:val="6BEC358E"/>
    <w:rsid w:val="6C1F1BB5"/>
    <w:rsid w:val="6CBE0CB2"/>
    <w:rsid w:val="6CD30E0D"/>
    <w:rsid w:val="6CDE737B"/>
    <w:rsid w:val="6D3C6797"/>
    <w:rsid w:val="6D5C5313"/>
    <w:rsid w:val="6D7465AD"/>
    <w:rsid w:val="6D843E38"/>
    <w:rsid w:val="6D851EEC"/>
    <w:rsid w:val="6D8C4981"/>
    <w:rsid w:val="6D917F94"/>
    <w:rsid w:val="6DA55BF3"/>
    <w:rsid w:val="6DC40A12"/>
    <w:rsid w:val="6E020BD5"/>
    <w:rsid w:val="6E272FA3"/>
    <w:rsid w:val="6E411D21"/>
    <w:rsid w:val="6E8D7ED5"/>
    <w:rsid w:val="6EA75E92"/>
    <w:rsid w:val="6EC9799B"/>
    <w:rsid w:val="6F013B3F"/>
    <w:rsid w:val="6F341AC6"/>
    <w:rsid w:val="6F924191"/>
    <w:rsid w:val="6FA13A00"/>
    <w:rsid w:val="6FE40D44"/>
    <w:rsid w:val="70090BB2"/>
    <w:rsid w:val="700A492A"/>
    <w:rsid w:val="70111815"/>
    <w:rsid w:val="7036571F"/>
    <w:rsid w:val="70375785"/>
    <w:rsid w:val="70425EEC"/>
    <w:rsid w:val="706C2EEF"/>
    <w:rsid w:val="709E02EE"/>
    <w:rsid w:val="70DD7C00"/>
    <w:rsid w:val="70DE7EF2"/>
    <w:rsid w:val="710567DF"/>
    <w:rsid w:val="712C66ED"/>
    <w:rsid w:val="716562BC"/>
    <w:rsid w:val="716C01A0"/>
    <w:rsid w:val="719941B8"/>
    <w:rsid w:val="71B66C2D"/>
    <w:rsid w:val="71D220AC"/>
    <w:rsid w:val="71D36399"/>
    <w:rsid w:val="71EC253A"/>
    <w:rsid w:val="724834E8"/>
    <w:rsid w:val="72707F19"/>
    <w:rsid w:val="727B2F78"/>
    <w:rsid w:val="727F515C"/>
    <w:rsid w:val="72B04935"/>
    <w:rsid w:val="730D6C0C"/>
    <w:rsid w:val="733330A4"/>
    <w:rsid w:val="735B2A36"/>
    <w:rsid w:val="73785DC2"/>
    <w:rsid w:val="73CD0149"/>
    <w:rsid w:val="74485A21"/>
    <w:rsid w:val="74583EB6"/>
    <w:rsid w:val="747131CA"/>
    <w:rsid w:val="74942A15"/>
    <w:rsid w:val="74D11DDE"/>
    <w:rsid w:val="751854D1"/>
    <w:rsid w:val="75435B47"/>
    <w:rsid w:val="76564426"/>
    <w:rsid w:val="76D66663"/>
    <w:rsid w:val="76E0030C"/>
    <w:rsid w:val="772B3B04"/>
    <w:rsid w:val="77495D38"/>
    <w:rsid w:val="779E247C"/>
    <w:rsid w:val="779F004E"/>
    <w:rsid w:val="7892370F"/>
    <w:rsid w:val="78E90E66"/>
    <w:rsid w:val="78F41CD4"/>
    <w:rsid w:val="792C1010"/>
    <w:rsid w:val="795F6D2B"/>
    <w:rsid w:val="79711576"/>
    <w:rsid w:val="79876FEC"/>
    <w:rsid w:val="79B511C2"/>
    <w:rsid w:val="79BA2F1D"/>
    <w:rsid w:val="79ED32F3"/>
    <w:rsid w:val="79F91C98"/>
    <w:rsid w:val="7A3D59D4"/>
    <w:rsid w:val="7AB40C81"/>
    <w:rsid w:val="7AD43FB1"/>
    <w:rsid w:val="7AD85D51"/>
    <w:rsid w:val="7B0F7299"/>
    <w:rsid w:val="7B226FCC"/>
    <w:rsid w:val="7B5C32A8"/>
    <w:rsid w:val="7B767C5E"/>
    <w:rsid w:val="7B7F481D"/>
    <w:rsid w:val="7BA63759"/>
    <w:rsid w:val="7C0441F9"/>
    <w:rsid w:val="7C06244A"/>
    <w:rsid w:val="7C0D37D8"/>
    <w:rsid w:val="7C786494"/>
    <w:rsid w:val="7C887FF1"/>
    <w:rsid w:val="7CC12815"/>
    <w:rsid w:val="7CC74112"/>
    <w:rsid w:val="7CFE1373"/>
    <w:rsid w:val="7D3B6123"/>
    <w:rsid w:val="7D6C09D3"/>
    <w:rsid w:val="7D6C47B9"/>
    <w:rsid w:val="7D851A94"/>
    <w:rsid w:val="7D9D293A"/>
    <w:rsid w:val="7E02447B"/>
    <w:rsid w:val="7E433A7E"/>
    <w:rsid w:val="7E4C610E"/>
    <w:rsid w:val="7E9D7124"/>
    <w:rsid w:val="7EB0669D"/>
    <w:rsid w:val="7EC76AF2"/>
    <w:rsid w:val="7EEA725D"/>
    <w:rsid w:val="7F3E1EFB"/>
    <w:rsid w:val="7FF57E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NormalIndent"/>
    <w:basedOn w:val="1"/>
    <w:qFormat/>
    <w:uiPriority w:val="0"/>
    <w:pPr>
      <w:ind w:firstLine="567"/>
      <w:textAlignment w:val="baseline"/>
    </w:pPr>
    <w:rPr>
      <w:rFonts w:ascii="Calibri" w:hAnsi="Calibri" w:eastAsia="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9665</Words>
  <Characters>9780</Characters>
  <Lines>0</Lines>
  <Paragraphs>0</Paragraphs>
  <TotalTime>0</TotalTime>
  <ScaleCrop>false</ScaleCrop>
  <LinksUpToDate>false</LinksUpToDate>
  <CharactersWithSpaces>9788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2025-08-14T01:02:00Z</dcterms:created>
  <dc:creator>Administrator</dc:creator>
  <cp:lastModifiedBy>  迪</cp:lastModifiedBy>
  <cp:lastPrinted>2026-10-27T01:56:00Z</cp:lastPrinted>
  <dcterms:modified xsi:type="dcterms:W3CDTF">2026-11-02T06:47:28Z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eyJoZGlkIjoiOTUwNDBhN2M2Njk5MzhiYTk2ZjNhODZmNWFiMTc3NjAiLCJ1c2VySWQiOiIzOTU2MzY4MTEifQ==</vt:lpwstr>
  </property>
  <property fmtid="{D5CDD505-2E9C-101B-9397-08002B2CF9AE}" pid="4" name="ICV">
    <vt:lpwstr>3F6AE7C7177E4DF2B129BD167392D3EF_13</vt:lpwstr>
  </property>
</Properties>
</file>