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57B654E">
      <w:pPr>
        <w:jc w:val="center"/>
        <w:rPr>
          <w:rFonts w:hint="eastAsia" w:ascii="方正小标宋简体" w:hAnsi="方正小标宋简体" w:eastAsia="方正小标宋简体" w:cs="方正小标宋简体"/>
          <w:b w:val="0"/>
          <w:bCs w:val="0"/>
          <w:spacing w:val="-15"/>
          <w:w w:val="98"/>
          <w:sz w:val="44"/>
          <w:szCs w:val="44"/>
          <w:lang w:eastAsia="zh-CN"/>
        </w:rPr>
      </w:pPr>
      <w:r>
        <w:rPr>
          <w:rFonts w:hint="eastAsia" w:ascii="方正小标宋简体" w:hAnsi="方正小标宋简体" w:eastAsia="方正小标宋简体" w:cs="方正小标宋简体"/>
          <w:b w:val="0"/>
          <w:bCs w:val="0"/>
          <w:sz w:val="44"/>
          <w:szCs w:val="44"/>
        </w:rPr>
        <w:t>2026年赤峰市失业保险稳岗返还</w:t>
      </w:r>
      <w:r>
        <w:rPr>
          <w:rFonts w:hint="eastAsia" w:ascii="方正小标宋简体" w:hAnsi="方正小标宋简体" w:eastAsia="方正小标宋简体" w:cs="方正小标宋简体"/>
          <w:b w:val="0"/>
          <w:bCs w:val="0"/>
          <w:spacing w:val="-15"/>
          <w:w w:val="98"/>
          <w:sz w:val="44"/>
          <w:szCs w:val="44"/>
          <w:lang w:eastAsia="zh-CN"/>
        </w:rPr>
        <w:t>申领指南</w:t>
      </w:r>
    </w:p>
    <w:p w14:paraId="421465ED">
      <w:pPr>
        <w:keepNext w:val="0"/>
        <w:keepLines w:val="0"/>
        <w:pageBreakBefore w:val="0"/>
        <w:widowControl w:val="0"/>
        <w:numPr>
          <w:ilvl w:val="0"/>
          <w:numId w:val="0"/>
        </w:numPr>
        <w:kinsoku/>
        <w:wordWrap/>
        <w:overflowPunct/>
        <w:topLinePunct w:val="0"/>
        <w:autoSpaceDE/>
        <w:autoSpaceDN/>
        <w:bidi w:val="0"/>
        <w:adjustRightInd/>
        <w:snapToGrid/>
        <w:spacing w:line="240" w:lineRule="auto"/>
        <w:ind w:firstLine="566" w:firstLineChars="200"/>
        <w:jc w:val="left"/>
        <w:textAlignment w:val="auto"/>
        <w:rPr>
          <w:rFonts w:hint="eastAsia" w:ascii="仿宋_GB2312" w:hAnsi="仿宋_GB2312" w:eastAsia="仿宋_GB2312" w:cs="仿宋_GB2312"/>
          <w:b w:val="0"/>
          <w:bCs w:val="0"/>
          <w:spacing w:val="-15"/>
          <w:w w:val="98"/>
          <w:kern w:val="2"/>
          <w:sz w:val="32"/>
          <w:szCs w:val="32"/>
          <w:lang w:val="en-US" w:eastAsia="zh-CN" w:bidi="ar-SA"/>
        </w:rPr>
      </w:pPr>
    </w:p>
    <w:p w14:paraId="2D54F33E">
      <w:pPr>
        <w:keepNext w:val="0"/>
        <w:keepLines w:val="0"/>
        <w:pageBreakBefore w:val="0"/>
        <w:widowControl w:val="0"/>
        <w:numPr>
          <w:ilvl w:val="0"/>
          <w:numId w:val="0"/>
        </w:numPr>
        <w:kinsoku/>
        <w:wordWrap/>
        <w:overflowPunct/>
        <w:topLinePunct w:val="0"/>
        <w:autoSpaceDE/>
        <w:autoSpaceDN/>
        <w:bidi w:val="0"/>
        <w:adjustRightInd/>
        <w:snapToGrid/>
        <w:spacing w:line="240" w:lineRule="auto"/>
        <w:ind w:right="0" w:rightChars="0" w:firstLine="640" w:firstLineChars="200"/>
        <w:jc w:val="left"/>
        <w:textAlignment w:val="auto"/>
        <w:outlineLvl w:val="9"/>
        <w:rPr>
          <w:rFonts w:hint="eastAsia" w:ascii="黑体" w:hAnsi="黑体" w:eastAsia="黑体" w:cs="黑体"/>
          <w:b w:val="0"/>
          <w:bCs w:val="0"/>
          <w:sz w:val="32"/>
          <w:szCs w:val="32"/>
          <w:lang w:val="en-US" w:eastAsia="zh-CN"/>
        </w:rPr>
      </w:pPr>
      <w:r>
        <w:rPr>
          <w:rFonts w:hint="eastAsia" w:ascii="黑体" w:hAnsi="黑体" w:eastAsia="黑体" w:cs="黑体"/>
          <w:b w:val="0"/>
          <w:bCs w:val="0"/>
          <w:sz w:val="32"/>
          <w:szCs w:val="32"/>
          <w:lang w:val="en-US" w:eastAsia="zh-CN"/>
        </w:rPr>
        <w:t>一、享受对象</w:t>
      </w:r>
    </w:p>
    <w:p w14:paraId="0DC5BACA">
      <w:pPr>
        <w:keepNext w:val="0"/>
        <w:keepLines w:val="0"/>
        <w:pageBreakBefore w:val="0"/>
        <w:widowControl w:val="0"/>
        <w:numPr>
          <w:ilvl w:val="0"/>
          <w:numId w:val="0"/>
        </w:numPr>
        <w:kinsoku/>
        <w:wordWrap/>
        <w:overflowPunct/>
        <w:topLinePunct w:val="0"/>
        <w:autoSpaceDE/>
        <w:autoSpaceDN/>
        <w:bidi w:val="0"/>
        <w:adjustRightInd/>
        <w:snapToGrid/>
        <w:spacing w:line="240" w:lineRule="auto"/>
        <w:ind w:right="0" w:rightChars="0" w:firstLine="640" w:firstLineChars="200"/>
        <w:jc w:val="left"/>
        <w:textAlignment w:val="auto"/>
        <w:outlineLvl w:val="9"/>
        <w:rPr>
          <w:rFonts w:hint="eastAsia" w:ascii="仿宋_GB2312" w:hAnsi="仿宋_GB2312" w:eastAsia="仿宋_GB2312" w:cs="仿宋_GB2312"/>
          <w:b w:val="0"/>
          <w:bCs w:val="0"/>
          <w:sz w:val="32"/>
          <w:szCs w:val="32"/>
          <w:lang w:val="en-US" w:eastAsia="zh-CN"/>
        </w:rPr>
      </w:pPr>
      <w:r>
        <w:rPr>
          <w:rFonts w:hint="eastAsia" w:ascii="仿宋_GB2312" w:hAnsi="仿宋_GB2312" w:eastAsia="仿宋_GB2312" w:cs="仿宋_GB2312"/>
          <w:b w:val="0"/>
          <w:bCs w:val="0"/>
          <w:sz w:val="32"/>
          <w:szCs w:val="32"/>
          <w:lang w:val="en-US" w:eastAsia="zh-CN"/>
        </w:rPr>
        <w:t>赤峰市内参保企业（单位）。</w:t>
      </w:r>
    </w:p>
    <w:p w14:paraId="28FAC48C">
      <w:pPr>
        <w:keepNext w:val="0"/>
        <w:keepLines w:val="0"/>
        <w:pageBreakBefore w:val="0"/>
        <w:widowControl w:val="0"/>
        <w:numPr>
          <w:ilvl w:val="0"/>
          <w:numId w:val="0"/>
        </w:numPr>
        <w:kinsoku/>
        <w:wordWrap/>
        <w:overflowPunct/>
        <w:topLinePunct w:val="0"/>
        <w:autoSpaceDE/>
        <w:autoSpaceDN/>
        <w:bidi w:val="0"/>
        <w:adjustRightInd/>
        <w:snapToGrid/>
        <w:spacing w:line="240" w:lineRule="auto"/>
        <w:ind w:right="0" w:rightChars="0" w:firstLine="640" w:firstLineChars="200"/>
        <w:jc w:val="left"/>
        <w:textAlignment w:val="auto"/>
        <w:outlineLvl w:val="9"/>
        <w:rPr>
          <w:rFonts w:hint="eastAsia" w:ascii="黑体" w:hAnsi="黑体" w:eastAsia="黑体" w:cs="黑体"/>
          <w:b w:val="0"/>
          <w:bCs w:val="0"/>
          <w:sz w:val="32"/>
          <w:szCs w:val="32"/>
          <w:lang w:val="en-US" w:eastAsia="zh-CN"/>
        </w:rPr>
      </w:pPr>
      <w:r>
        <w:rPr>
          <w:rFonts w:hint="eastAsia" w:ascii="黑体" w:hAnsi="黑体" w:eastAsia="黑体" w:cs="黑体"/>
          <w:b w:val="0"/>
          <w:bCs w:val="0"/>
          <w:sz w:val="32"/>
          <w:szCs w:val="32"/>
          <w:lang w:val="en-US" w:eastAsia="zh-CN"/>
        </w:rPr>
        <w:t>二、申领条件</w:t>
      </w:r>
    </w:p>
    <w:p w14:paraId="313F9973">
      <w:pPr>
        <w:keepNext w:val="0"/>
        <w:keepLines w:val="0"/>
        <w:pageBreakBefore w:val="0"/>
        <w:widowControl w:val="0"/>
        <w:numPr>
          <w:ilvl w:val="0"/>
          <w:numId w:val="0"/>
        </w:numPr>
        <w:kinsoku/>
        <w:wordWrap/>
        <w:overflowPunct/>
        <w:topLinePunct w:val="0"/>
        <w:autoSpaceDE/>
        <w:autoSpaceDN/>
        <w:bidi w:val="0"/>
        <w:adjustRightInd/>
        <w:snapToGrid/>
        <w:spacing w:line="240" w:lineRule="auto"/>
        <w:ind w:right="0" w:rightChars="0" w:firstLine="640" w:firstLineChars="200"/>
        <w:jc w:val="left"/>
        <w:textAlignment w:val="auto"/>
        <w:outlineLvl w:val="9"/>
        <w:rPr>
          <w:rFonts w:hint="eastAsia" w:ascii="仿宋_GB2312" w:hAnsi="仿宋_GB2312" w:eastAsia="仿宋_GB2312" w:cs="仿宋_GB2312"/>
          <w:b w:val="0"/>
          <w:bCs w:val="0"/>
          <w:sz w:val="32"/>
          <w:szCs w:val="32"/>
          <w:lang w:val="en-US" w:eastAsia="zh-CN"/>
        </w:rPr>
      </w:pPr>
      <w:r>
        <w:rPr>
          <w:rFonts w:hint="eastAsia" w:ascii="仿宋_GB2312" w:hAnsi="仿宋_GB2312" w:eastAsia="仿宋_GB2312" w:cs="仿宋_GB2312"/>
          <w:b w:val="0"/>
          <w:bCs w:val="0"/>
          <w:sz w:val="32"/>
          <w:szCs w:val="32"/>
          <w:lang w:val="en-US" w:eastAsia="zh-CN"/>
        </w:rPr>
        <w:t>参保企业足额缴纳失业保险费12个月(含)以上，上年度未裁员或裁员率不高于上年度全国城镇调查失业率控制目标(5.5%)，30人(含)以下的参保企业裁员率不高于参保职工总数20%的，可以按规定享受失业保险稳岗返还。裁员率按照企业上年度解除、终止劳动关系且符合领取失业保险金条件人数与上年度月平均参保人数之比确定，月均参保人数采取四舍五入取整数的方法计算。对严重违法失信企业、列入出清名单僵尸企业和不符合当地环保政策的企业不予返还。对政策执行期间恢复信用的，可解除惩戒措施，按规定发放稳岗返还资金。</w:t>
      </w:r>
    </w:p>
    <w:p w14:paraId="314DABDF">
      <w:pPr>
        <w:keepNext w:val="0"/>
        <w:keepLines w:val="0"/>
        <w:pageBreakBefore w:val="0"/>
        <w:widowControl w:val="0"/>
        <w:numPr>
          <w:ilvl w:val="0"/>
          <w:numId w:val="0"/>
        </w:numPr>
        <w:kinsoku/>
        <w:wordWrap/>
        <w:overflowPunct/>
        <w:topLinePunct w:val="0"/>
        <w:autoSpaceDE/>
        <w:autoSpaceDN/>
        <w:bidi w:val="0"/>
        <w:adjustRightInd/>
        <w:snapToGrid/>
        <w:spacing w:line="240" w:lineRule="auto"/>
        <w:ind w:right="0" w:rightChars="0" w:firstLine="640" w:firstLineChars="200"/>
        <w:jc w:val="left"/>
        <w:textAlignment w:val="auto"/>
        <w:outlineLvl w:val="9"/>
        <w:rPr>
          <w:rFonts w:hint="eastAsia" w:ascii="黑体" w:hAnsi="黑体" w:eastAsia="黑体" w:cs="黑体"/>
          <w:b w:val="0"/>
          <w:bCs w:val="0"/>
          <w:sz w:val="32"/>
          <w:szCs w:val="32"/>
          <w:lang w:val="en-US" w:eastAsia="zh-CN"/>
        </w:rPr>
      </w:pPr>
      <w:r>
        <w:rPr>
          <w:rFonts w:hint="eastAsia" w:ascii="黑体" w:hAnsi="黑体" w:eastAsia="黑体" w:cs="黑体"/>
          <w:b w:val="0"/>
          <w:bCs w:val="0"/>
          <w:sz w:val="32"/>
          <w:szCs w:val="32"/>
          <w:lang w:val="en-US" w:eastAsia="zh-CN"/>
        </w:rPr>
        <w:t>三、返还标准</w:t>
      </w:r>
    </w:p>
    <w:p w14:paraId="461F42BC">
      <w:pPr>
        <w:keepNext w:val="0"/>
        <w:keepLines w:val="0"/>
        <w:pageBreakBefore w:val="0"/>
        <w:widowControl w:val="0"/>
        <w:numPr>
          <w:ilvl w:val="0"/>
          <w:numId w:val="0"/>
        </w:numPr>
        <w:kinsoku/>
        <w:wordWrap/>
        <w:overflowPunct/>
        <w:topLinePunct w:val="0"/>
        <w:autoSpaceDE/>
        <w:autoSpaceDN/>
        <w:bidi w:val="0"/>
        <w:adjustRightInd/>
        <w:snapToGrid/>
        <w:spacing w:line="240" w:lineRule="auto"/>
        <w:ind w:right="0" w:rightChars="0" w:firstLine="640" w:firstLineChars="200"/>
        <w:jc w:val="left"/>
        <w:textAlignment w:val="auto"/>
        <w:outlineLvl w:val="9"/>
        <w:rPr>
          <w:rFonts w:hint="eastAsia" w:ascii="仿宋_GB2312" w:hAnsi="仿宋_GB2312" w:eastAsia="仿宋_GB2312" w:cs="仿宋_GB2312"/>
          <w:b w:val="0"/>
          <w:bCs w:val="0"/>
          <w:sz w:val="32"/>
          <w:szCs w:val="32"/>
          <w:lang w:val="en-US" w:eastAsia="zh-CN"/>
        </w:rPr>
      </w:pPr>
      <w:r>
        <w:rPr>
          <w:rFonts w:hint="eastAsia" w:ascii="仿宋_GB2312" w:hAnsi="仿宋_GB2312" w:eastAsia="仿宋_GB2312" w:cs="仿宋_GB2312"/>
          <w:b w:val="0"/>
          <w:bCs w:val="0"/>
          <w:sz w:val="32"/>
          <w:szCs w:val="32"/>
          <w:lang w:val="en-US" w:eastAsia="zh-CN"/>
        </w:rPr>
        <w:t>大型企业按企业及其职工上年度实际缴纳当年度失业保险费的30%返还，中小微企业按60%返还。社会组织、律师事务所、会计师事务所、以单位形式参保的个体工商户参照中小微企业实施。</w:t>
      </w:r>
    </w:p>
    <w:p w14:paraId="78D6C6A4">
      <w:pPr>
        <w:keepNext w:val="0"/>
        <w:keepLines w:val="0"/>
        <w:pageBreakBefore w:val="0"/>
        <w:widowControl w:val="0"/>
        <w:numPr>
          <w:ilvl w:val="0"/>
          <w:numId w:val="0"/>
        </w:numPr>
        <w:kinsoku/>
        <w:wordWrap/>
        <w:overflowPunct/>
        <w:topLinePunct w:val="0"/>
        <w:autoSpaceDE/>
        <w:autoSpaceDN/>
        <w:bidi w:val="0"/>
        <w:adjustRightInd/>
        <w:snapToGrid/>
        <w:spacing w:line="240" w:lineRule="auto"/>
        <w:ind w:right="0" w:rightChars="0" w:firstLine="640" w:firstLineChars="200"/>
        <w:jc w:val="left"/>
        <w:textAlignment w:val="auto"/>
        <w:outlineLvl w:val="9"/>
        <w:rPr>
          <w:rFonts w:hint="eastAsia" w:ascii="黑体" w:hAnsi="黑体" w:eastAsia="黑体" w:cs="黑体"/>
          <w:b w:val="0"/>
          <w:bCs w:val="0"/>
          <w:sz w:val="32"/>
          <w:szCs w:val="32"/>
          <w:lang w:val="en-US" w:eastAsia="zh-CN"/>
        </w:rPr>
      </w:pPr>
      <w:r>
        <w:rPr>
          <w:rFonts w:hint="eastAsia" w:ascii="黑体" w:hAnsi="黑体" w:eastAsia="黑体" w:cs="黑体"/>
          <w:b w:val="0"/>
          <w:bCs w:val="0"/>
          <w:sz w:val="32"/>
          <w:szCs w:val="32"/>
          <w:lang w:val="en-US" w:eastAsia="zh-CN"/>
        </w:rPr>
        <w:t>四、资金用途</w:t>
      </w:r>
    </w:p>
    <w:p w14:paraId="3362EE91">
      <w:pPr>
        <w:keepNext w:val="0"/>
        <w:keepLines w:val="0"/>
        <w:pageBreakBefore w:val="0"/>
        <w:widowControl w:val="0"/>
        <w:numPr>
          <w:ilvl w:val="0"/>
          <w:numId w:val="0"/>
        </w:numPr>
        <w:kinsoku/>
        <w:wordWrap/>
        <w:overflowPunct/>
        <w:topLinePunct w:val="0"/>
        <w:autoSpaceDE/>
        <w:autoSpaceDN/>
        <w:bidi w:val="0"/>
        <w:adjustRightInd/>
        <w:snapToGrid/>
        <w:spacing w:line="240" w:lineRule="auto"/>
        <w:ind w:right="0" w:rightChars="0" w:firstLine="640" w:firstLineChars="200"/>
        <w:jc w:val="left"/>
        <w:textAlignment w:val="auto"/>
        <w:outlineLvl w:val="9"/>
        <w:rPr>
          <w:rFonts w:hint="eastAsia" w:ascii="仿宋_GB2312" w:hAnsi="仿宋_GB2312" w:eastAsia="仿宋_GB2312" w:cs="仿宋_GB2312"/>
          <w:b w:val="0"/>
          <w:bCs w:val="0"/>
          <w:sz w:val="32"/>
          <w:szCs w:val="32"/>
          <w:lang w:val="en-US" w:eastAsia="zh-CN"/>
        </w:rPr>
      </w:pPr>
      <w:r>
        <w:rPr>
          <w:rFonts w:hint="eastAsia" w:ascii="仿宋_GB2312" w:hAnsi="仿宋_GB2312" w:eastAsia="仿宋_GB2312" w:cs="仿宋_GB2312"/>
          <w:b w:val="0"/>
          <w:bCs w:val="0"/>
          <w:sz w:val="32"/>
          <w:szCs w:val="32"/>
          <w:lang w:val="en-US" w:eastAsia="zh-CN"/>
        </w:rPr>
        <w:t>稳岗返还资金可用于职工生活补助、缴纳社会保险费、转岗培训、技能提升培训等稳定就业岗位以及降低生产经营成本支出。</w:t>
      </w:r>
    </w:p>
    <w:p w14:paraId="449B223C">
      <w:pPr>
        <w:keepNext w:val="0"/>
        <w:keepLines w:val="0"/>
        <w:pageBreakBefore w:val="0"/>
        <w:widowControl w:val="0"/>
        <w:numPr>
          <w:ilvl w:val="0"/>
          <w:numId w:val="0"/>
        </w:numPr>
        <w:kinsoku/>
        <w:wordWrap/>
        <w:overflowPunct/>
        <w:topLinePunct w:val="0"/>
        <w:autoSpaceDE/>
        <w:autoSpaceDN/>
        <w:bidi w:val="0"/>
        <w:adjustRightInd/>
        <w:snapToGrid/>
        <w:spacing w:line="240" w:lineRule="auto"/>
        <w:ind w:right="0" w:rightChars="0" w:firstLine="640" w:firstLineChars="200"/>
        <w:jc w:val="left"/>
        <w:textAlignment w:val="auto"/>
        <w:outlineLvl w:val="9"/>
        <w:rPr>
          <w:rFonts w:hint="eastAsia" w:ascii="黑体" w:hAnsi="黑体" w:eastAsia="黑体" w:cs="黑体"/>
          <w:b w:val="0"/>
          <w:bCs w:val="0"/>
          <w:sz w:val="32"/>
          <w:szCs w:val="32"/>
          <w:lang w:eastAsia="zh-CN"/>
        </w:rPr>
      </w:pPr>
      <w:r>
        <w:rPr>
          <w:rFonts w:hint="eastAsia" w:ascii="黑体" w:hAnsi="黑体" w:eastAsia="黑体" w:cs="黑体"/>
          <w:b w:val="0"/>
          <w:bCs w:val="0"/>
          <w:sz w:val="32"/>
          <w:szCs w:val="32"/>
          <w:lang w:val="en-US" w:eastAsia="zh-CN"/>
        </w:rPr>
        <w:t>五、</w:t>
      </w:r>
      <w:r>
        <w:rPr>
          <w:rFonts w:hint="eastAsia" w:ascii="黑体" w:hAnsi="黑体" w:eastAsia="黑体" w:cs="黑体"/>
          <w:b w:val="0"/>
          <w:bCs w:val="0"/>
          <w:sz w:val="32"/>
          <w:szCs w:val="32"/>
          <w:lang w:eastAsia="zh-CN"/>
        </w:rPr>
        <w:t>申领方式</w:t>
      </w:r>
    </w:p>
    <w:p w14:paraId="35BE2F1A">
      <w:pPr>
        <w:keepNext w:val="0"/>
        <w:keepLines w:val="0"/>
        <w:pageBreakBefore w:val="0"/>
        <w:widowControl w:val="0"/>
        <w:numPr>
          <w:ilvl w:val="0"/>
          <w:numId w:val="0"/>
        </w:numPr>
        <w:kinsoku/>
        <w:wordWrap/>
        <w:overflowPunct/>
        <w:topLinePunct w:val="0"/>
        <w:autoSpaceDE/>
        <w:autoSpaceDN/>
        <w:bidi w:val="0"/>
        <w:adjustRightInd/>
        <w:snapToGrid/>
        <w:spacing w:line="240" w:lineRule="auto"/>
        <w:ind w:right="0" w:rightChars="0" w:firstLine="640" w:firstLineChars="200"/>
        <w:jc w:val="left"/>
        <w:textAlignment w:val="auto"/>
        <w:outlineLvl w:val="9"/>
        <w:rPr>
          <w:rFonts w:hint="eastAsia" w:ascii="仿宋_GB2312" w:hAnsi="仿宋_GB2312" w:eastAsia="仿宋_GB2312" w:cs="仿宋_GB2312"/>
          <w:b w:val="0"/>
          <w:bCs w:val="0"/>
          <w:sz w:val="32"/>
          <w:szCs w:val="32"/>
          <w:lang w:val="en-US" w:eastAsia="zh-CN"/>
        </w:rPr>
      </w:pPr>
      <w:r>
        <w:rPr>
          <w:rFonts w:hint="eastAsia" w:ascii="仿宋_GB2312" w:hAnsi="仿宋_GB2312" w:eastAsia="仿宋_GB2312" w:cs="仿宋_GB2312"/>
          <w:b w:val="0"/>
          <w:bCs w:val="0"/>
          <w:sz w:val="32"/>
          <w:szCs w:val="32"/>
          <w:lang w:val="en-US" w:eastAsia="zh-CN"/>
        </w:rPr>
        <w:t>符合条件且社保系统中企业账户等信息准确、完善的企业（单位）在登录单位网厅时，会弹框提示确认享受稳岗返还信息，确认信息后无需申请，经办机构会在审核后将资金返还到企业账户（享受企业公示结束后，</w:t>
      </w:r>
      <w:bookmarkStart w:id="0" w:name="_GoBack"/>
      <w:bookmarkEnd w:id="0"/>
      <w:r>
        <w:rPr>
          <w:rFonts w:hint="eastAsia" w:ascii="仿宋_GB2312" w:hAnsi="仿宋_GB2312" w:eastAsia="仿宋_GB2312" w:cs="仿宋_GB2312"/>
          <w:b w:val="0"/>
          <w:bCs w:val="0"/>
          <w:sz w:val="32"/>
          <w:szCs w:val="32"/>
          <w:lang w:val="en-US" w:eastAsia="zh-CN"/>
        </w:rPr>
        <w:t>未收到稳岗返还资金的企业请及时与经办机构联系，确保稳岗返还资金及时到账）。没有对公账户的小微企业，经企业确认及授权后，资金返还至当地税务部门协助提供的其缴纳社会保险费的账户。</w:t>
      </w:r>
      <w:r>
        <w:rPr>
          <w:rFonts w:hint="eastAsia" w:ascii="仿宋_GB2312" w:hAnsi="仿宋_GB2312" w:eastAsia="仿宋_GB2312" w:cs="仿宋_GB2312"/>
          <w:kern w:val="0"/>
          <w:sz w:val="32"/>
          <w:szCs w:val="32"/>
          <w:lang w:val="en-US" w:eastAsia="zh-CN" w:bidi="ar"/>
        </w:rPr>
        <w:t>符合条件的企业</w:t>
      </w:r>
      <w:r>
        <w:rPr>
          <w:rFonts w:hint="eastAsia" w:ascii="仿宋_GB2312" w:hAnsi="仿宋_GB2312" w:eastAsia="仿宋_GB2312" w:cs="仿宋_GB2312"/>
          <w:b w:val="0"/>
          <w:bCs w:val="0"/>
          <w:sz w:val="32"/>
          <w:szCs w:val="32"/>
          <w:lang w:val="en-US" w:eastAsia="zh-CN"/>
        </w:rPr>
        <w:t>（单位）登录单位网厅时无确认弹框，可通过网厅自主申请。</w:t>
      </w:r>
    </w:p>
    <w:p w14:paraId="1C3DE79A">
      <w:pPr>
        <w:keepNext w:val="0"/>
        <w:keepLines w:val="0"/>
        <w:pageBreakBefore w:val="0"/>
        <w:widowControl w:val="0"/>
        <w:numPr>
          <w:ilvl w:val="0"/>
          <w:numId w:val="0"/>
        </w:numPr>
        <w:kinsoku/>
        <w:wordWrap/>
        <w:overflowPunct/>
        <w:topLinePunct w:val="0"/>
        <w:autoSpaceDE/>
        <w:autoSpaceDN/>
        <w:bidi w:val="0"/>
        <w:adjustRightInd/>
        <w:snapToGrid/>
        <w:spacing w:line="240" w:lineRule="auto"/>
        <w:ind w:right="0" w:rightChars="0" w:firstLine="640" w:firstLineChars="200"/>
        <w:jc w:val="left"/>
        <w:textAlignment w:val="auto"/>
        <w:outlineLvl w:val="9"/>
        <w:rPr>
          <w:rFonts w:hint="eastAsia" w:ascii="仿宋_GB2312" w:hAnsi="仿宋_GB2312" w:eastAsia="仿宋_GB2312" w:cs="仿宋_GB2312"/>
          <w:b w:val="0"/>
          <w:bCs w:val="0"/>
          <w:sz w:val="32"/>
          <w:szCs w:val="32"/>
          <w:lang w:val="en-US" w:eastAsia="zh-CN"/>
        </w:rPr>
      </w:pPr>
      <w:r>
        <w:rPr>
          <w:rFonts w:hint="eastAsia" w:ascii="仿宋_GB2312" w:hAnsi="仿宋_GB2312" w:eastAsia="仿宋_GB2312" w:cs="仿宋_GB2312"/>
          <w:b w:val="0"/>
          <w:bCs w:val="0"/>
          <w:sz w:val="32"/>
          <w:szCs w:val="32"/>
          <w:lang w:val="en-US" w:eastAsia="zh-CN"/>
        </w:rPr>
        <w:t>劳务派遣单位应主动在单位网厅提出申请，并做好资金分配。对涉及被派遣劳动者的部分，全额拨付给用工单位。对涉及自有员工部分（含依法开展承揽、外包业务招用的劳动者），由劳务派遣单位全额享受。</w:t>
      </w:r>
    </w:p>
    <w:p w14:paraId="669D63F1">
      <w:pPr>
        <w:keepNext w:val="0"/>
        <w:keepLines w:val="0"/>
        <w:pageBreakBefore w:val="0"/>
        <w:widowControl w:val="0"/>
        <w:numPr>
          <w:ilvl w:val="0"/>
          <w:numId w:val="0"/>
        </w:numPr>
        <w:kinsoku/>
        <w:wordWrap/>
        <w:overflowPunct/>
        <w:topLinePunct w:val="0"/>
        <w:autoSpaceDE/>
        <w:autoSpaceDN/>
        <w:bidi w:val="0"/>
        <w:adjustRightInd/>
        <w:snapToGrid/>
        <w:spacing w:line="240" w:lineRule="auto"/>
        <w:ind w:right="0" w:rightChars="0" w:firstLine="640" w:firstLineChars="200"/>
        <w:jc w:val="left"/>
        <w:textAlignment w:val="auto"/>
        <w:outlineLvl w:val="9"/>
        <w:rPr>
          <w:rFonts w:hint="eastAsia" w:ascii="黑体" w:hAnsi="黑体" w:eastAsia="黑体" w:cs="黑体"/>
          <w:b w:val="0"/>
          <w:bCs w:val="0"/>
          <w:sz w:val="32"/>
          <w:szCs w:val="32"/>
          <w:lang w:eastAsia="zh-CN"/>
        </w:rPr>
      </w:pPr>
      <w:r>
        <w:rPr>
          <w:rFonts w:hint="eastAsia" w:ascii="黑体" w:hAnsi="黑体" w:eastAsia="黑体" w:cs="黑体"/>
          <w:b w:val="0"/>
          <w:bCs w:val="0"/>
          <w:sz w:val="32"/>
          <w:szCs w:val="32"/>
          <w:lang w:eastAsia="zh-CN"/>
        </w:rPr>
        <w:t>六、政策执行期限</w:t>
      </w:r>
    </w:p>
    <w:p w14:paraId="567C26F2">
      <w:pPr>
        <w:keepNext w:val="0"/>
        <w:keepLines w:val="0"/>
        <w:pageBreakBefore w:val="0"/>
        <w:widowControl w:val="0"/>
        <w:numPr>
          <w:ilvl w:val="0"/>
          <w:numId w:val="0"/>
        </w:numPr>
        <w:kinsoku/>
        <w:wordWrap/>
        <w:overflowPunct/>
        <w:topLinePunct w:val="0"/>
        <w:autoSpaceDE/>
        <w:autoSpaceDN/>
        <w:bidi w:val="0"/>
        <w:adjustRightInd/>
        <w:snapToGrid/>
        <w:spacing w:line="240" w:lineRule="auto"/>
        <w:ind w:right="0" w:rightChars="0" w:firstLine="640" w:firstLineChars="200"/>
        <w:jc w:val="left"/>
        <w:textAlignment w:val="auto"/>
        <w:outlineLvl w:val="9"/>
        <w:rPr>
          <w:rFonts w:hint="eastAsia" w:ascii="仿宋_GB2312" w:hAnsi="仿宋_GB2312" w:eastAsia="仿宋_GB2312" w:cs="仿宋_GB2312"/>
          <w:b w:val="0"/>
          <w:bCs w:val="0"/>
          <w:sz w:val="32"/>
          <w:szCs w:val="32"/>
          <w:lang w:val="en-US" w:eastAsia="zh-CN"/>
        </w:rPr>
      </w:pPr>
      <w:r>
        <w:rPr>
          <w:rFonts w:hint="eastAsia" w:ascii="仿宋_GB2312" w:hAnsi="仿宋_GB2312" w:eastAsia="仿宋_GB2312" w:cs="仿宋_GB2312"/>
          <w:b w:val="0"/>
          <w:bCs w:val="0"/>
          <w:sz w:val="32"/>
          <w:szCs w:val="32"/>
          <w:lang w:val="en-US" w:eastAsia="zh-CN"/>
        </w:rPr>
        <w:t>政策执行期限至2026年12月31日。</w:t>
      </w:r>
    </w:p>
    <w:p w14:paraId="4E1F5DE8">
      <w:pPr>
        <w:keepNext w:val="0"/>
        <w:keepLines w:val="0"/>
        <w:pageBreakBefore w:val="0"/>
        <w:widowControl w:val="0"/>
        <w:numPr>
          <w:ilvl w:val="0"/>
          <w:numId w:val="0"/>
        </w:numPr>
        <w:kinsoku/>
        <w:wordWrap/>
        <w:overflowPunct/>
        <w:topLinePunct w:val="0"/>
        <w:autoSpaceDE/>
        <w:autoSpaceDN/>
        <w:bidi w:val="0"/>
        <w:adjustRightInd/>
        <w:snapToGrid/>
        <w:spacing w:line="240" w:lineRule="auto"/>
        <w:ind w:right="0" w:rightChars="0" w:firstLine="640" w:firstLineChars="200"/>
        <w:jc w:val="left"/>
        <w:textAlignment w:val="auto"/>
        <w:outlineLvl w:val="9"/>
        <w:rPr>
          <w:rFonts w:hint="eastAsia" w:ascii="黑体" w:hAnsi="黑体" w:eastAsia="黑体" w:cs="黑体"/>
          <w:b w:val="0"/>
          <w:bCs w:val="0"/>
          <w:sz w:val="32"/>
          <w:szCs w:val="32"/>
          <w:lang w:eastAsia="zh-CN"/>
        </w:rPr>
      </w:pPr>
      <w:r>
        <w:rPr>
          <w:rFonts w:hint="eastAsia" w:ascii="黑体" w:hAnsi="黑体" w:eastAsia="黑体" w:cs="黑体"/>
          <w:b w:val="0"/>
          <w:bCs w:val="0"/>
          <w:kern w:val="2"/>
          <w:sz w:val="32"/>
          <w:szCs w:val="32"/>
          <w:lang w:val="en-US" w:eastAsia="zh-CN" w:bidi="ar-SA"/>
        </w:rPr>
        <w:t>七、</w:t>
      </w:r>
      <w:r>
        <w:rPr>
          <w:rFonts w:hint="eastAsia" w:ascii="黑体" w:hAnsi="黑体" w:eastAsia="黑体" w:cs="黑体"/>
          <w:b w:val="0"/>
          <w:bCs w:val="0"/>
          <w:sz w:val="32"/>
          <w:szCs w:val="32"/>
          <w:lang w:eastAsia="zh-CN"/>
        </w:rPr>
        <w:t>经办机构地址及咨询电话</w:t>
      </w:r>
    </w:p>
    <w:tbl>
      <w:tblPr>
        <w:tblStyle w:val="3"/>
        <w:tblW w:w="8910" w:type="dxa"/>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1140"/>
        <w:gridCol w:w="2535"/>
        <w:gridCol w:w="3345"/>
        <w:gridCol w:w="1890"/>
      </w:tblGrid>
      <w:tr w14:paraId="239C603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trPr>
        <w:tc>
          <w:tcPr>
            <w:tcW w:w="11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AF263F">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序号</w:t>
            </w:r>
          </w:p>
        </w:tc>
        <w:tc>
          <w:tcPr>
            <w:tcW w:w="25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67C3DA">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旗县区</w:t>
            </w:r>
          </w:p>
        </w:tc>
        <w:tc>
          <w:tcPr>
            <w:tcW w:w="33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74DEAC">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联系地址</w:t>
            </w:r>
          </w:p>
        </w:tc>
        <w:tc>
          <w:tcPr>
            <w:tcW w:w="18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9799D7">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联系方式</w:t>
            </w:r>
          </w:p>
        </w:tc>
      </w:tr>
      <w:tr w14:paraId="5EFE560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trPr>
        <w:tc>
          <w:tcPr>
            <w:tcW w:w="11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4F4720">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w:t>
            </w:r>
          </w:p>
        </w:tc>
        <w:tc>
          <w:tcPr>
            <w:tcW w:w="25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6E561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红山区</w:t>
            </w:r>
          </w:p>
        </w:tc>
        <w:tc>
          <w:tcPr>
            <w:tcW w:w="33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82A1E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内蒙古赤峰市红山区长青街四中胡同南口红山区就业服务中心</w:t>
            </w:r>
          </w:p>
        </w:tc>
        <w:tc>
          <w:tcPr>
            <w:tcW w:w="18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929EFA">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0476-5771085</w:t>
            </w:r>
          </w:p>
        </w:tc>
      </w:tr>
      <w:tr w14:paraId="672F90D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trPr>
        <w:tc>
          <w:tcPr>
            <w:tcW w:w="11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EA905B">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w:t>
            </w:r>
          </w:p>
        </w:tc>
        <w:tc>
          <w:tcPr>
            <w:tcW w:w="25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FF671A">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松山区</w:t>
            </w:r>
          </w:p>
        </w:tc>
        <w:tc>
          <w:tcPr>
            <w:tcW w:w="33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DDAF84">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松山区政务服务中心五楼510室</w:t>
            </w:r>
          </w:p>
        </w:tc>
        <w:tc>
          <w:tcPr>
            <w:tcW w:w="18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A46805">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0476-8477011</w:t>
            </w:r>
          </w:p>
        </w:tc>
      </w:tr>
      <w:tr w14:paraId="3ABF8B8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trPr>
        <w:tc>
          <w:tcPr>
            <w:tcW w:w="11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286183">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w:t>
            </w:r>
          </w:p>
        </w:tc>
        <w:tc>
          <w:tcPr>
            <w:tcW w:w="25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2C847B">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元宝山区</w:t>
            </w:r>
          </w:p>
        </w:tc>
        <w:tc>
          <w:tcPr>
            <w:tcW w:w="33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9FFD59">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赤峰市元宝山区内环北路与宝山路交叉口东120米</w:t>
            </w:r>
          </w:p>
        </w:tc>
        <w:tc>
          <w:tcPr>
            <w:tcW w:w="18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2C6468">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0476-5850306</w:t>
            </w:r>
          </w:p>
        </w:tc>
      </w:tr>
      <w:tr w14:paraId="6FACD06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trPr>
        <w:tc>
          <w:tcPr>
            <w:tcW w:w="11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AEB449">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4</w:t>
            </w:r>
          </w:p>
        </w:tc>
        <w:tc>
          <w:tcPr>
            <w:tcW w:w="25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AF5ABC">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阿鲁科尔沁旗</w:t>
            </w:r>
          </w:p>
        </w:tc>
        <w:tc>
          <w:tcPr>
            <w:tcW w:w="33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39E537">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阿鲁科尔沁旗天山镇天元大街西段61-9号阿鲁科尔沁旗就业服务中心</w:t>
            </w:r>
          </w:p>
        </w:tc>
        <w:tc>
          <w:tcPr>
            <w:tcW w:w="18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F05ABE">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0476-7233531</w:t>
            </w:r>
          </w:p>
        </w:tc>
      </w:tr>
      <w:tr w14:paraId="4680E13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trPr>
        <w:tc>
          <w:tcPr>
            <w:tcW w:w="11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794A80">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w:t>
            </w:r>
          </w:p>
        </w:tc>
        <w:tc>
          <w:tcPr>
            <w:tcW w:w="25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9902E1">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巴林左旗</w:t>
            </w:r>
          </w:p>
        </w:tc>
        <w:tc>
          <w:tcPr>
            <w:tcW w:w="33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973F4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巴林左旗林东镇契丹大街258号</w:t>
            </w:r>
          </w:p>
        </w:tc>
        <w:tc>
          <w:tcPr>
            <w:tcW w:w="18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962F00">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0476-7883681</w:t>
            </w:r>
          </w:p>
        </w:tc>
      </w:tr>
      <w:tr w14:paraId="30C1C7A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0" w:hRule="atLeast"/>
        </w:trPr>
        <w:tc>
          <w:tcPr>
            <w:tcW w:w="11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6BD3C3">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6</w:t>
            </w:r>
          </w:p>
        </w:tc>
        <w:tc>
          <w:tcPr>
            <w:tcW w:w="25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AB114C">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巴林右旗</w:t>
            </w:r>
          </w:p>
        </w:tc>
        <w:tc>
          <w:tcPr>
            <w:tcW w:w="33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C0383E">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巴林右旗大板镇巴林右旗就业服务中心</w:t>
            </w:r>
          </w:p>
        </w:tc>
        <w:tc>
          <w:tcPr>
            <w:tcW w:w="18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B2CE2D">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0476-6222880</w:t>
            </w:r>
          </w:p>
        </w:tc>
      </w:tr>
      <w:tr w14:paraId="5764332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0" w:hRule="atLeast"/>
        </w:trPr>
        <w:tc>
          <w:tcPr>
            <w:tcW w:w="11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7E315B">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7</w:t>
            </w:r>
          </w:p>
        </w:tc>
        <w:tc>
          <w:tcPr>
            <w:tcW w:w="25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2BB83E">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林西县</w:t>
            </w:r>
          </w:p>
        </w:tc>
        <w:tc>
          <w:tcPr>
            <w:tcW w:w="33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6B3DE9">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林西县林西镇兴林路82号林西县就业服务中心</w:t>
            </w:r>
          </w:p>
        </w:tc>
        <w:tc>
          <w:tcPr>
            <w:tcW w:w="18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867394">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0476-5329283</w:t>
            </w:r>
          </w:p>
        </w:tc>
      </w:tr>
      <w:tr w14:paraId="3814FEE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trPr>
        <w:tc>
          <w:tcPr>
            <w:tcW w:w="11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563093">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8</w:t>
            </w:r>
          </w:p>
        </w:tc>
        <w:tc>
          <w:tcPr>
            <w:tcW w:w="25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272970">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克什克腾旗</w:t>
            </w:r>
          </w:p>
        </w:tc>
        <w:tc>
          <w:tcPr>
            <w:tcW w:w="33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5D841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赤峰市克什克腾旗西拉沐沦街道社会保障综合办公楼</w:t>
            </w:r>
          </w:p>
        </w:tc>
        <w:tc>
          <w:tcPr>
            <w:tcW w:w="18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55ADAF">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 0476-5845646</w:t>
            </w:r>
          </w:p>
        </w:tc>
      </w:tr>
      <w:tr w14:paraId="7AAF619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trPr>
        <w:tc>
          <w:tcPr>
            <w:tcW w:w="11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718177">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w:t>
            </w:r>
          </w:p>
        </w:tc>
        <w:tc>
          <w:tcPr>
            <w:tcW w:w="25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849D65">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翁牛特旗</w:t>
            </w:r>
          </w:p>
        </w:tc>
        <w:tc>
          <w:tcPr>
            <w:tcW w:w="33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DC982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翁牛特旗清泉路社会保险4号楼2楼就业服务中心</w:t>
            </w:r>
          </w:p>
        </w:tc>
        <w:tc>
          <w:tcPr>
            <w:tcW w:w="18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199A1E">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0476-5639010</w:t>
            </w:r>
          </w:p>
        </w:tc>
      </w:tr>
      <w:tr w14:paraId="3D54145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trPr>
        <w:tc>
          <w:tcPr>
            <w:tcW w:w="11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6B310E">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w:t>
            </w:r>
          </w:p>
        </w:tc>
        <w:tc>
          <w:tcPr>
            <w:tcW w:w="25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F1DB30">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喀喇沁旗</w:t>
            </w:r>
          </w:p>
        </w:tc>
        <w:tc>
          <w:tcPr>
            <w:tcW w:w="33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D13D88">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内蒙古自治区赤峰市喀喇沁旗锦南大街171号喀喇沁旗政务服务局二楼行政审批办公室</w:t>
            </w:r>
          </w:p>
        </w:tc>
        <w:tc>
          <w:tcPr>
            <w:tcW w:w="18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F34CC1">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0476-3752981</w:t>
            </w:r>
          </w:p>
        </w:tc>
      </w:tr>
      <w:tr w14:paraId="0BE853A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0" w:hRule="atLeast"/>
        </w:trPr>
        <w:tc>
          <w:tcPr>
            <w:tcW w:w="11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12726D">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11</w:t>
            </w:r>
          </w:p>
        </w:tc>
        <w:tc>
          <w:tcPr>
            <w:tcW w:w="25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15E4C5">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宁城县</w:t>
            </w:r>
          </w:p>
        </w:tc>
        <w:tc>
          <w:tcPr>
            <w:tcW w:w="33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EC35DE">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内蒙古赤峰市天义镇热水街7号宁城县就业服务中心</w:t>
            </w:r>
          </w:p>
        </w:tc>
        <w:tc>
          <w:tcPr>
            <w:tcW w:w="18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83B055">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0476-4266505</w:t>
            </w:r>
          </w:p>
        </w:tc>
      </w:tr>
      <w:tr w14:paraId="54F29FC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trPr>
        <w:tc>
          <w:tcPr>
            <w:tcW w:w="11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75088B">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12</w:t>
            </w:r>
          </w:p>
        </w:tc>
        <w:tc>
          <w:tcPr>
            <w:tcW w:w="25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791835">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敖汉旗</w:t>
            </w:r>
          </w:p>
        </w:tc>
        <w:tc>
          <w:tcPr>
            <w:tcW w:w="33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08EF1D">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内蒙古赤峰市敖汉旗新州街62号敖汉旗就业服务中心</w:t>
            </w:r>
          </w:p>
        </w:tc>
        <w:tc>
          <w:tcPr>
            <w:tcW w:w="18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EBE257">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0476-5821030</w:t>
            </w:r>
          </w:p>
        </w:tc>
      </w:tr>
      <w:tr w14:paraId="01517AA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trPr>
        <w:tc>
          <w:tcPr>
            <w:tcW w:w="11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B5C0BD">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13</w:t>
            </w:r>
          </w:p>
        </w:tc>
        <w:tc>
          <w:tcPr>
            <w:tcW w:w="25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1A26AE">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市本级</w:t>
            </w:r>
          </w:p>
        </w:tc>
        <w:tc>
          <w:tcPr>
            <w:tcW w:w="33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41B32F">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赤峰市松山区大明街8号赤峰市就业服务中心</w:t>
            </w:r>
          </w:p>
        </w:tc>
        <w:tc>
          <w:tcPr>
            <w:tcW w:w="18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CB6440">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0476-5891510</w:t>
            </w:r>
          </w:p>
        </w:tc>
      </w:tr>
    </w:tbl>
    <w:p w14:paraId="19944C39">
      <w:pPr>
        <w:pStyle w:val="2"/>
        <w:numPr>
          <w:ilvl w:val="0"/>
          <w:numId w:val="0"/>
        </w:numPr>
        <w:rPr>
          <w:rFonts w:hint="eastAsia"/>
          <w:lang w:eastAsia="zh-CN"/>
        </w:rPr>
      </w:pPr>
    </w:p>
    <w:p w14:paraId="6C716952">
      <w:pPr>
        <w:pStyle w:val="2"/>
        <w:rPr>
          <w:rFonts w:hint="eastAsia"/>
          <w:lang w:eastAsia="zh-CN"/>
        </w:rPr>
      </w:pPr>
    </w:p>
    <w:p w14:paraId="3CA0476D">
      <w:pPr>
        <w:numPr>
          <w:ilvl w:val="0"/>
          <w:numId w:val="0"/>
        </w:numPr>
        <w:rPr>
          <w:rFonts w:hint="eastAsia" w:ascii="方正小标宋简体" w:hAnsi="方正小标宋简体" w:eastAsia="方正小标宋简体" w:cs="方正小标宋简体"/>
          <w:b w:val="0"/>
          <w:bCs w:val="0"/>
          <w:spacing w:val="-15"/>
          <w:w w:val="98"/>
          <w:sz w:val="44"/>
          <w:szCs w:val="44"/>
          <w:lang w:eastAsia="zh-CN"/>
        </w:rPr>
      </w:pPr>
    </w:p>
    <w:p w14:paraId="103F9ADA">
      <w:pPr>
        <w:numPr>
          <w:ilvl w:val="0"/>
          <w:numId w:val="0"/>
        </w:numPr>
        <w:rPr>
          <w:rFonts w:hint="eastAsia" w:ascii="方正小标宋简体" w:hAnsi="方正小标宋简体" w:eastAsia="方正小标宋简体" w:cs="方正小标宋简体"/>
          <w:b w:val="0"/>
          <w:bCs w:val="0"/>
          <w:spacing w:val="-15"/>
          <w:w w:val="98"/>
          <w:sz w:val="44"/>
          <w:szCs w:val="44"/>
          <w:lang w:eastAsia="zh-CN"/>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小标宋简体">
    <w:altName w:val="黑体"/>
    <w:panose1 w:val="03000509000000000000"/>
    <w:charset w:val="86"/>
    <w:family w:val="auto"/>
    <w:pitch w:val="default"/>
    <w:sig w:usb0="00000000" w:usb1="00000000" w:usb2="00000000" w:usb3="00000000" w:csb0="00040000" w:csb1="00000000"/>
  </w:font>
  <w:font w:name="仿宋_GB2312">
    <w:altName w:val="仿宋"/>
    <w:panose1 w:val="02010609030101010101"/>
    <w:charset w:val="86"/>
    <w:family w:val="modern"/>
    <w:pitch w:val="default"/>
    <w:sig w:usb0="00000000" w:usb1="00000000" w:usb2="00000000" w:usb3="00000000" w:csb0="00040000" w:csb1="00000000"/>
  </w:font>
  <w:font w:name="KSOF439EEF50">
    <w:panose1 w:val="02010609060101010101"/>
    <w:charset w:val="86"/>
    <w:family w:val="auto"/>
    <w:pitch w:val="default"/>
    <w:sig w:usb0="00000001" w:usb1="00000000" w:usb2="00000000" w:usb3="00000000" w:csb0="00040001" w:csb1="00000000"/>
  </w:font>
  <w:font w:name="仿宋">
    <w:panose1 w:val="02010609060101010101"/>
    <w:charset w:val="86"/>
    <w:family w:val="auto"/>
    <w:pitch w:val="default"/>
    <w:sig w:usb0="800002BF" w:usb1="38CF7CFA" w:usb2="00000016" w:usb3="00000000" w:csb0="00040001" w:csb1="00000000"/>
  </w:font>
  <w:font w:name="KSOFE44F9426">
    <w:panose1 w:val="02010609060101010101"/>
    <w:charset w:val="86"/>
    <w:family w:val="auto"/>
    <w:pitch w:val="default"/>
    <w:sig w:usb0="00000001" w:usb1="00000000" w:usb2="00000000"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7FC2953"/>
    <w:rsid w:val="0A9B6453"/>
    <w:rsid w:val="0B3F7726"/>
    <w:rsid w:val="10572E1C"/>
    <w:rsid w:val="12802AFE"/>
    <w:rsid w:val="167B7F56"/>
    <w:rsid w:val="23790618"/>
    <w:rsid w:val="2861490A"/>
    <w:rsid w:val="31AF08B2"/>
    <w:rsid w:val="33082306"/>
    <w:rsid w:val="37C40184"/>
    <w:rsid w:val="4B661B8A"/>
    <w:rsid w:val="4BA601D9"/>
    <w:rsid w:val="4EF92D15"/>
    <w:rsid w:val="56C17CD7"/>
    <w:rsid w:val="5AE20B01"/>
    <w:rsid w:val="649B069F"/>
    <w:rsid w:val="676E52BD"/>
    <w:rsid w:val="690A5DF3"/>
    <w:rsid w:val="721D6B97"/>
    <w:rsid w:val="725A0D25"/>
    <w:rsid w:val="7F6E7D3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qFormat="1"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4">
    <w:name w:val="Default Paragraph Font"/>
    <w:semiHidden/>
    <w:uiPriority w:val="0"/>
  </w:style>
  <w:style w:type="table" w:default="1" w:styleId="3">
    <w:name w:val="Normal Table"/>
    <w:semiHidden/>
    <w:uiPriority w:val="0"/>
    <w:tblPr>
      <w:tblCellMar>
        <w:top w:w="0" w:type="dxa"/>
        <w:left w:w="108" w:type="dxa"/>
        <w:bottom w:w="0" w:type="dxa"/>
        <w:right w:w="108" w:type="dxa"/>
      </w:tblCellMar>
    </w:tblPr>
  </w:style>
  <w:style w:type="paragraph" w:styleId="2">
    <w:name w:val="footnote text"/>
    <w:basedOn w:val="1"/>
    <w:qFormat/>
    <w:uiPriority w:val="0"/>
    <w:pPr>
      <w:widowControl w:val="0"/>
      <w:snapToGrid w:val="0"/>
      <w:jc w:val="left"/>
    </w:pPr>
    <w:rPr>
      <w:rFonts w:ascii="Times New Roman" w:hAnsi="Times New Roman" w:eastAsia="宋体" w:cs="Times New Roman"/>
      <w:kern w:val="2"/>
      <w:sz w:val="21"/>
      <w:szCs w:val="22"/>
      <w:lang w:val="en-US" w:eastAsia="zh-CN" w:bidi="ar-SA"/>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3</Pages>
  <Words>1150</Words>
  <Characters>1331</Characters>
  <Lines>0</Lines>
  <Paragraphs>0</Paragraphs>
  <TotalTime>2</TotalTime>
  <ScaleCrop>false</ScaleCrop>
  <LinksUpToDate>false</LinksUpToDate>
  <CharactersWithSpaces>1332</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2026-09-02T01:46:00Z</dcterms:created>
  <dc:creator>Administrator</dc:creator>
  <cp:lastModifiedBy>丽</cp:lastModifiedBy>
  <dcterms:modified xsi:type="dcterms:W3CDTF">2026-09-02T08:20:58Z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KSOTemplateDocerSaveRecord">
    <vt:lpwstr>eyJoZGlkIjoiYmMxMGM1M2NjNWI3ZGUyMGFhOWRhYmI1M2I3MWI1OWEiLCJ1c2VySWQiOiI2Mjc4MTc3NzAifQ==</vt:lpwstr>
  </property>
  <property fmtid="{D5CDD505-2E9C-101B-9397-08002B2CF9AE}" pid="4" name="ICV">
    <vt:lpwstr>11598C61264142C69A928AA3EF5DE52C_12</vt:lpwstr>
  </property>
</Properties>
</file>